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0A42522F" w:rsidR="00983BC4" w:rsidRPr="004F0907" w:rsidRDefault="00983BC4" w:rsidP="00983BC4">
      <w:pPr>
        <w:pStyle w:val="CRCoverPage"/>
        <w:tabs>
          <w:tab w:val="right" w:pos="9639"/>
        </w:tabs>
        <w:spacing w:after="0"/>
        <w:rPr>
          <w:b/>
          <w:i/>
          <w:noProof/>
          <w:sz w:val="28"/>
          <w:lang w:val="en-US"/>
        </w:rPr>
      </w:pPr>
      <w:r>
        <w:rPr>
          <w:b/>
          <w:noProof/>
          <w:sz w:val="24"/>
        </w:rPr>
        <w:t>3GPP TSG-RAN</w:t>
      </w:r>
      <w:r w:rsidR="008F118D">
        <w:rPr>
          <w:b/>
          <w:noProof/>
          <w:sz w:val="24"/>
        </w:rPr>
        <w:t xml:space="preserve"> WG</w:t>
      </w:r>
      <w:r>
        <w:rPr>
          <w:b/>
          <w:noProof/>
          <w:sz w:val="24"/>
        </w:rPr>
        <w:t>4 Meeting #</w:t>
      </w:r>
      <w:r w:rsidR="00A50DD6">
        <w:rPr>
          <w:b/>
          <w:noProof/>
          <w:sz w:val="24"/>
        </w:rPr>
        <w:t>88</w:t>
      </w:r>
      <w:r>
        <w:rPr>
          <w:b/>
          <w:i/>
          <w:noProof/>
          <w:sz w:val="24"/>
        </w:rPr>
        <w:t xml:space="preserve"> </w:t>
      </w:r>
      <w:r>
        <w:rPr>
          <w:b/>
          <w:i/>
          <w:noProof/>
          <w:sz w:val="28"/>
        </w:rPr>
        <w:tab/>
      </w:r>
      <w:r w:rsidR="008D1597" w:rsidRPr="008D1597">
        <w:rPr>
          <w:b/>
          <w:i/>
          <w:noProof/>
          <w:sz w:val="28"/>
        </w:rPr>
        <w:t>R4-1809875</w:t>
      </w:r>
    </w:p>
    <w:p w14:paraId="35A51CF0" w14:textId="62561B03" w:rsidR="00983BC4" w:rsidRPr="00CB7577" w:rsidRDefault="00A50DD6" w:rsidP="00CB7577">
      <w:pPr>
        <w:tabs>
          <w:tab w:val="left" w:pos="1985"/>
        </w:tabs>
        <w:spacing w:before="0" w:after="180"/>
        <w:rPr>
          <w:rFonts w:ascii="Arial" w:hAnsi="Arial" w:cs="Arial"/>
          <w:b/>
          <w:noProof/>
          <w:sz w:val="24"/>
        </w:rPr>
      </w:pPr>
      <w:r w:rsidRPr="00A50DD6">
        <w:rPr>
          <w:rFonts w:ascii="Arial" w:hAnsi="Arial" w:cs="Arial"/>
          <w:b/>
          <w:noProof/>
          <w:sz w:val="24"/>
        </w:rPr>
        <w:t>Gothenburg</w:t>
      </w:r>
      <w:r w:rsidR="00983BC4" w:rsidRPr="00706FBB">
        <w:rPr>
          <w:rFonts w:ascii="Arial" w:hAnsi="Arial" w:cs="Arial"/>
          <w:b/>
          <w:noProof/>
          <w:sz w:val="24"/>
        </w:rPr>
        <w:t xml:space="preserve">, </w:t>
      </w:r>
      <w:r w:rsidRPr="00A50DD6">
        <w:rPr>
          <w:rFonts w:ascii="Arial" w:hAnsi="Arial" w:cs="Arial"/>
          <w:b/>
          <w:noProof/>
          <w:sz w:val="24"/>
        </w:rPr>
        <w:t>Sweden</w:t>
      </w:r>
      <w:r w:rsidR="008F118D">
        <w:rPr>
          <w:rFonts w:ascii="Arial" w:hAnsi="Arial" w:cs="Arial"/>
          <w:b/>
          <w:noProof/>
          <w:sz w:val="24"/>
        </w:rPr>
        <w:t xml:space="preserve">, </w:t>
      </w:r>
      <w:r>
        <w:rPr>
          <w:rFonts w:ascii="Arial" w:hAnsi="Arial" w:cs="Arial"/>
          <w:b/>
          <w:noProof/>
          <w:sz w:val="24"/>
        </w:rPr>
        <w:t>August</w:t>
      </w:r>
      <w:r w:rsidR="00997326">
        <w:rPr>
          <w:rFonts w:ascii="Arial" w:hAnsi="Arial" w:cs="Arial"/>
          <w:b/>
          <w:noProof/>
          <w:sz w:val="24"/>
        </w:rPr>
        <w:t xml:space="preserve"> 2</w:t>
      </w:r>
      <w:r>
        <w:rPr>
          <w:rFonts w:ascii="Arial" w:hAnsi="Arial" w:cs="Arial"/>
          <w:b/>
          <w:noProof/>
          <w:sz w:val="24"/>
        </w:rPr>
        <w:t>0 – 24</w:t>
      </w:r>
      <w:r w:rsidR="00983BC4" w:rsidRPr="00706FBB">
        <w:rPr>
          <w:rFonts w:ascii="Arial" w:hAnsi="Arial" w:cs="Arial"/>
          <w:b/>
          <w:noProof/>
          <w:sz w:val="24"/>
        </w:rPr>
        <w:t>, 2018</w:t>
      </w:r>
    </w:p>
    <w:p w14:paraId="1A53EEB8" w14:textId="5F57CB52"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0263C1">
        <w:rPr>
          <w:rFonts w:ascii="Arial" w:hAnsi="Arial" w:cs="Arial"/>
          <w:b/>
          <w:sz w:val="24"/>
        </w:rPr>
        <w:t>7.11.8.4</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4C43D51"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50DD6">
        <w:rPr>
          <w:rFonts w:ascii="Arial" w:hAnsi="Arial" w:cs="Arial"/>
          <w:b/>
          <w:sz w:val="24"/>
        </w:rPr>
        <w:t xml:space="preserve">Further discussion on </w:t>
      </w:r>
      <w:r w:rsidR="00A369B7" w:rsidRPr="00A369B7">
        <w:rPr>
          <w:rFonts w:ascii="Arial" w:hAnsi="Arial" w:cs="Arial"/>
          <w:b/>
          <w:sz w:val="24"/>
        </w:rPr>
        <w:t>BWP switching</w:t>
      </w:r>
      <w:r w:rsidR="008F118D">
        <w:rPr>
          <w:rFonts w:ascii="Arial" w:hAnsi="Arial" w:cs="Arial"/>
          <w:b/>
          <w:sz w:val="24"/>
        </w:rPr>
        <w:t xml:space="preserve"> Delay</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33B4F77F" w:rsidR="00983BC4" w:rsidRDefault="00A50DD6" w:rsidP="005D2062">
      <w:pPr>
        <w:jc w:val="both"/>
        <w:rPr>
          <w:lang w:eastAsia="zh-CN"/>
        </w:rPr>
      </w:pPr>
      <w:r>
        <w:rPr>
          <w:lang w:eastAsia="zh-CN"/>
        </w:rPr>
        <w:t>In RAN4 #AH1807</w:t>
      </w:r>
      <w:r w:rsidR="007F5886">
        <w:rPr>
          <w:lang w:eastAsia="zh-CN"/>
        </w:rPr>
        <w:t xml:space="preserve"> meeting </w:t>
      </w:r>
      <w:r w:rsidR="00410854">
        <w:rPr>
          <w:lang w:eastAsia="zh-CN"/>
        </w:rPr>
        <w:t>one WF</w:t>
      </w:r>
      <w:r w:rsidR="007F5886">
        <w:rPr>
          <w:lang w:eastAsia="zh-CN"/>
        </w:rPr>
        <w:t xml:space="preserve"> was approved </w:t>
      </w:r>
      <w:r w:rsidR="00410854">
        <w:rPr>
          <w:lang w:eastAsia="zh-CN"/>
        </w:rPr>
        <w:t>by</w:t>
      </w:r>
      <w:r w:rsidR="007F5886">
        <w:rPr>
          <w:lang w:eastAsia="zh-CN"/>
        </w:rPr>
        <w:t xml:space="preserve"> RAN4 [1] for </w:t>
      </w:r>
      <w:r w:rsidR="00410854">
        <w:rPr>
          <w:lang w:eastAsia="zh-CN"/>
        </w:rPr>
        <w:t>BMP switching</w:t>
      </w:r>
      <w:r w:rsidR="005A1DF7">
        <w:rPr>
          <w:lang w:eastAsia="zh-CN"/>
        </w:rPr>
        <w:t>.</w:t>
      </w:r>
      <w:r w:rsidR="0001238B">
        <w:rPr>
          <w:lang w:eastAsia="zh-CN"/>
        </w:rPr>
        <w:t xml:space="preserve"> The text in the WF related to the delay duration of BWP switching</w:t>
      </w:r>
      <w:r w:rsidR="007F5886">
        <w:rPr>
          <w:lang w:eastAsia="zh-CN"/>
        </w:rPr>
        <w:t xml:space="preserve">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7D0CC4BD" w14:textId="77777777" w:rsidR="00C95068" w:rsidRPr="005F5A16" w:rsidRDefault="00C95068" w:rsidP="00C95068">
            <w:pPr>
              <w:pStyle w:val="ListParagraph"/>
              <w:numPr>
                <w:ilvl w:val="0"/>
                <w:numId w:val="30"/>
              </w:numPr>
              <w:overflowPunct w:val="0"/>
              <w:autoSpaceDE w:val="0"/>
              <w:autoSpaceDN w:val="0"/>
              <w:adjustRightInd w:val="0"/>
              <w:spacing w:before="0"/>
              <w:ind w:left="360"/>
              <w:contextualSpacing/>
              <w:textAlignment w:val="baseline"/>
              <w:rPr>
                <w:rFonts w:ascii="Times New Roman" w:hAnsi="Times New Roman"/>
                <w:sz w:val="20"/>
                <w:szCs w:val="20"/>
              </w:rPr>
            </w:pPr>
            <w:r w:rsidRPr="005F5A16">
              <w:rPr>
                <w:rFonts w:ascii="Times New Roman" w:hAnsi="Times New Roman"/>
                <w:sz w:val="20"/>
                <w:szCs w:val="20"/>
              </w:rPr>
              <w:t xml:space="preserve">Depending on the proposals from interested companies, options to introduce new BWP switching delay are to be further discussed </w:t>
            </w:r>
          </w:p>
          <w:p w14:paraId="6DE48609" w14:textId="77777777" w:rsidR="00C95068" w:rsidRPr="005F5A16" w:rsidRDefault="00C95068" w:rsidP="00C95068">
            <w:pPr>
              <w:numPr>
                <w:ilvl w:val="1"/>
                <w:numId w:val="31"/>
              </w:numPr>
              <w:tabs>
                <w:tab w:val="clear" w:pos="1800"/>
                <w:tab w:val="num" w:pos="2216"/>
              </w:tabs>
              <w:spacing w:before="0" w:after="0"/>
              <w:ind w:left="1080"/>
              <w:rPr>
                <w:lang w:val="en-US"/>
              </w:rPr>
            </w:pPr>
            <w:r w:rsidRPr="005F5A16">
              <w:rPr>
                <w:lang w:val="en-US"/>
              </w:rPr>
              <w:t>Option 1: Keep type 1 and type 2 unchanged.</w:t>
            </w:r>
          </w:p>
          <w:p w14:paraId="72F6FF60" w14:textId="77777777" w:rsidR="00C95068" w:rsidRPr="005F5A16" w:rsidRDefault="00C95068" w:rsidP="00C95068">
            <w:pPr>
              <w:numPr>
                <w:ilvl w:val="1"/>
                <w:numId w:val="31"/>
              </w:numPr>
              <w:tabs>
                <w:tab w:val="clear" w:pos="1800"/>
                <w:tab w:val="num" w:pos="2216"/>
              </w:tabs>
              <w:spacing w:before="0" w:after="0"/>
              <w:ind w:left="1080"/>
              <w:rPr>
                <w:lang w:val="en-US"/>
              </w:rPr>
            </w:pPr>
            <w:r w:rsidRPr="005F5A16">
              <w:rPr>
                <w:lang w:val="en-US"/>
              </w:rPr>
              <w:t>Option 2: Revise Type 1 delay and keep Type 2 unchanged.</w:t>
            </w:r>
          </w:p>
          <w:p w14:paraId="08B00CAD" w14:textId="77777777" w:rsidR="00C95068" w:rsidRPr="005F5A16" w:rsidRDefault="00C95068" w:rsidP="00C95068">
            <w:pPr>
              <w:numPr>
                <w:ilvl w:val="1"/>
                <w:numId w:val="31"/>
              </w:numPr>
              <w:tabs>
                <w:tab w:val="clear" w:pos="1800"/>
                <w:tab w:val="num" w:pos="2216"/>
              </w:tabs>
              <w:spacing w:before="0" w:after="0"/>
              <w:ind w:left="1080"/>
              <w:rPr>
                <w:lang w:val="en-US"/>
              </w:rPr>
            </w:pPr>
            <w:r w:rsidRPr="005F5A16">
              <w:rPr>
                <w:lang w:val="en-US"/>
              </w:rPr>
              <w:t>Option 3: Keep Type 1 and 2 unchanged and introduce Type 3 delay more than 2ms.</w:t>
            </w:r>
          </w:p>
          <w:p w14:paraId="64E2F3A1" w14:textId="77777777" w:rsidR="00C95068" w:rsidRPr="005F5A16" w:rsidRDefault="00C95068" w:rsidP="00C95068">
            <w:pPr>
              <w:numPr>
                <w:ilvl w:val="1"/>
                <w:numId w:val="31"/>
              </w:numPr>
              <w:tabs>
                <w:tab w:val="clear" w:pos="1800"/>
                <w:tab w:val="num" w:pos="2216"/>
              </w:tabs>
              <w:spacing w:before="0" w:after="0"/>
              <w:ind w:left="1080"/>
              <w:rPr>
                <w:lang w:val="en-US"/>
              </w:rPr>
            </w:pPr>
            <w:r w:rsidRPr="005F5A16">
              <w:rPr>
                <w:lang w:val="en-US"/>
              </w:rPr>
              <w:t xml:space="preserve">Option 4: Revise type 1 delay less than 2ms, introduce type 3 delay more than 2ms and keep Type 2 unchanged. </w:t>
            </w:r>
          </w:p>
          <w:p w14:paraId="71A95CD3" w14:textId="77777777" w:rsidR="00C95068" w:rsidRPr="005F5A16" w:rsidRDefault="00C95068" w:rsidP="00C95068">
            <w:pPr>
              <w:numPr>
                <w:ilvl w:val="1"/>
                <w:numId w:val="31"/>
              </w:numPr>
              <w:tabs>
                <w:tab w:val="clear" w:pos="1800"/>
                <w:tab w:val="num" w:pos="2216"/>
              </w:tabs>
              <w:spacing w:before="0" w:after="0"/>
              <w:ind w:left="1080"/>
              <w:rPr>
                <w:lang w:val="en-US"/>
              </w:rPr>
            </w:pPr>
            <w:r w:rsidRPr="005F5A16">
              <w:rPr>
                <w:lang w:val="en-US"/>
              </w:rPr>
              <w:t>If option 3 or 4 is agreed, an LS will be send to RAN2 to introduce Type 3 BWP switching delay.</w:t>
            </w:r>
          </w:p>
          <w:p w14:paraId="0A22869C" w14:textId="0182ADC1" w:rsidR="00402260" w:rsidRPr="00793E31" w:rsidRDefault="00C95068" w:rsidP="00793E31">
            <w:pPr>
              <w:numPr>
                <w:ilvl w:val="0"/>
                <w:numId w:val="31"/>
              </w:numPr>
              <w:tabs>
                <w:tab w:val="num" w:pos="1136"/>
              </w:tabs>
              <w:spacing w:before="0" w:after="0"/>
              <w:ind w:left="360"/>
              <w:rPr>
                <w:lang w:val="en-US"/>
              </w:rPr>
            </w:pPr>
            <w:r w:rsidRPr="005F5A16">
              <w:rPr>
                <w:lang w:val="en-US"/>
              </w:rPr>
              <w:t>RAN4 is to define two types of requirements for BWP switching delay involving only Baseband parameter changes, based on what parameters is changing. It is FFS if the delay for BWP switching involving only baseband parameter changes is the same as scenario 1/2/3 or scenario 4.</w:t>
            </w:r>
            <w:r>
              <w:rPr>
                <w:lang w:val="en-US"/>
              </w:rPr>
              <w:t xml:space="preserve"> </w:t>
            </w:r>
          </w:p>
        </w:tc>
      </w:tr>
    </w:tbl>
    <w:p w14:paraId="1B32D620" w14:textId="77777777" w:rsidR="00793E31" w:rsidRDefault="00793E31" w:rsidP="005D2062">
      <w:pPr>
        <w:jc w:val="both"/>
        <w:rPr>
          <w:lang w:val="en-US" w:eastAsia="zh-CN"/>
        </w:rPr>
      </w:pPr>
      <w:r>
        <w:rPr>
          <w:lang w:val="en-US" w:eastAsia="zh-CN"/>
        </w:rPr>
        <w:t>There are some agreements on BWP switching delay from RAN4 #87 and RAN4 #AH1807 meetings, which is stated as below</w:t>
      </w:r>
    </w:p>
    <w:tbl>
      <w:tblPr>
        <w:tblStyle w:val="TableGrid"/>
        <w:tblW w:w="0" w:type="auto"/>
        <w:tblLook w:val="04A0" w:firstRow="1" w:lastRow="0" w:firstColumn="1" w:lastColumn="0" w:noHBand="0" w:noVBand="1"/>
      </w:tblPr>
      <w:tblGrid>
        <w:gridCol w:w="9629"/>
      </w:tblGrid>
      <w:tr w:rsidR="00793E31" w14:paraId="250E29B8" w14:textId="77777777" w:rsidTr="00793E31">
        <w:tc>
          <w:tcPr>
            <w:tcW w:w="9629" w:type="dxa"/>
          </w:tcPr>
          <w:p w14:paraId="2B634ACA" w14:textId="77777777" w:rsidR="00793E31" w:rsidRDefault="00793E31" w:rsidP="00793E31">
            <w:pPr>
              <w:spacing w:before="0" w:after="0"/>
              <w:rPr>
                <w:lang w:val="en-US"/>
              </w:rPr>
            </w:pPr>
            <w:r w:rsidRPr="00C95068">
              <w:rPr>
                <w:highlight w:val="green"/>
                <w:lang w:val="en-US"/>
              </w:rPr>
              <w:t>Agreements:</w:t>
            </w:r>
            <w:r>
              <w:rPr>
                <w:lang w:val="en-US"/>
              </w:rPr>
              <w:t xml:space="preserve"> </w:t>
            </w:r>
          </w:p>
          <w:p w14:paraId="1B390426" w14:textId="77777777" w:rsidR="00793E31" w:rsidRPr="00793E31" w:rsidRDefault="00793E31" w:rsidP="00793E31">
            <w:pPr>
              <w:numPr>
                <w:ilvl w:val="0"/>
                <w:numId w:val="31"/>
              </w:numPr>
              <w:tabs>
                <w:tab w:val="num" w:pos="1136"/>
              </w:tabs>
              <w:spacing w:before="0" w:after="0"/>
              <w:ind w:left="360"/>
              <w:rPr>
                <w:lang w:val="en-US"/>
              </w:rPr>
            </w:pPr>
            <w:r w:rsidRPr="00793E31">
              <w:rPr>
                <w:lang w:val="en-US"/>
              </w:rPr>
              <w:t>BWP switch delay requirement is specified in the unit of slot of the serving cell, if the requirement is defined</w:t>
            </w:r>
            <w:r>
              <w:rPr>
                <w:lang w:val="en-US"/>
              </w:rPr>
              <w:t>.</w:t>
            </w:r>
          </w:p>
          <w:p w14:paraId="7560D455" w14:textId="77777777" w:rsidR="00793E31" w:rsidRDefault="00793E31" w:rsidP="00793E31">
            <w:pPr>
              <w:numPr>
                <w:ilvl w:val="0"/>
                <w:numId w:val="31"/>
              </w:numPr>
              <w:tabs>
                <w:tab w:val="num" w:pos="1136"/>
              </w:tabs>
              <w:spacing w:before="0" w:after="0"/>
              <w:ind w:left="360"/>
              <w:rPr>
                <w:lang w:val="en-US"/>
              </w:rPr>
            </w:pPr>
            <w:r w:rsidRPr="00793E31">
              <w:rPr>
                <w:lang w:val="en-US"/>
              </w:rPr>
              <w:t>The reference SCS when SCS changes from SCS1 to SCS2 is the lager SCS</w:t>
            </w:r>
            <w:r>
              <w:rPr>
                <w:lang w:val="en-US"/>
              </w:rPr>
              <w:t>.</w:t>
            </w:r>
          </w:p>
          <w:p w14:paraId="1EBEB95E" w14:textId="77777777" w:rsidR="00793E31" w:rsidRDefault="00793E31" w:rsidP="00793E31">
            <w:pPr>
              <w:numPr>
                <w:ilvl w:val="0"/>
                <w:numId w:val="31"/>
              </w:numPr>
              <w:tabs>
                <w:tab w:val="num" w:pos="1136"/>
              </w:tabs>
              <w:spacing w:before="0" w:after="0"/>
              <w:ind w:left="360"/>
              <w:rPr>
                <w:lang w:val="en-US"/>
              </w:rPr>
            </w:pPr>
            <w:r>
              <w:rPr>
                <w:lang w:val="en-US"/>
              </w:rPr>
              <w:t>There is no extra delay for channel estimation after BWP switching.</w:t>
            </w:r>
          </w:p>
          <w:p w14:paraId="32C0AF34" w14:textId="715FCBEB" w:rsidR="00793E31" w:rsidRPr="00793E31" w:rsidRDefault="00793E31" w:rsidP="005D2062">
            <w:pPr>
              <w:numPr>
                <w:ilvl w:val="0"/>
                <w:numId w:val="31"/>
              </w:numPr>
              <w:tabs>
                <w:tab w:val="num" w:pos="1136"/>
              </w:tabs>
              <w:spacing w:before="0" w:after="0"/>
              <w:ind w:left="360"/>
              <w:rPr>
                <w:lang w:val="en-US"/>
              </w:rPr>
            </w:pPr>
            <w:r>
              <w:rPr>
                <w:lang w:val="en-US"/>
              </w:rPr>
              <w:t>Same delay requirements apply for DCI-based and timer-based switching.</w:t>
            </w:r>
          </w:p>
        </w:tc>
      </w:tr>
    </w:tbl>
    <w:p w14:paraId="078B414C" w14:textId="2E9EAC71" w:rsidR="00B26005" w:rsidRPr="0067369B" w:rsidRDefault="00793E31" w:rsidP="005D2062">
      <w:pPr>
        <w:jc w:val="both"/>
        <w:rPr>
          <w:lang w:val="en-US" w:eastAsia="zh-CN"/>
        </w:rPr>
      </w:pPr>
      <w:r>
        <w:rPr>
          <w:lang w:val="en-US" w:eastAsia="zh-CN"/>
        </w:rPr>
        <w:t xml:space="preserve">The exact BWP switching requirements are still TBD. </w:t>
      </w:r>
      <w:r w:rsidR="005D767C">
        <w:rPr>
          <w:lang w:val="en-US" w:eastAsia="zh-CN"/>
        </w:rPr>
        <w:t xml:space="preserve">In this contribution we </w:t>
      </w:r>
      <w:r w:rsidR="00640EAC">
        <w:rPr>
          <w:lang w:val="en-US" w:eastAsia="zh-CN"/>
        </w:rPr>
        <w:t xml:space="preserve">provide further discussion on </w:t>
      </w:r>
      <w:r w:rsidR="00782D8F">
        <w:rPr>
          <w:lang w:val="en-US" w:eastAsia="zh-CN"/>
        </w:rPr>
        <w:t>the requirement</w:t>
      </w:r>
      <w:r w:rsidR="00640EAC">
        <w:rPr>
          <w:lang w:val="en-US" w:eastAsia="zh-CN"/>
        </w:rPr>
        <w:t>s</w:t>
      </w:r>
      <w:r w:rsidR="00782D8F">
        <w:rPr>
          <w:lang w:val="en-US" w:eastAsia="zh-CN"/>
        </w:rPr>
        <w:t xml:space="preserve"> for BWP switching</w:t>
      </w:r>
      <w:r w:rsidR="0001238B">
        <w:rPr>
          <w:lang w:val="en-US" w:eastAsia="zh-CN"/>
        </w:rPr>
        <w:t xml:space="preserve"> delay</w:t>
      </w:r>
      <w:r w:rsidR="005D767C">
        <w:rPr>
          <w:lang w:val="en-US" w:eastAsia="zh-CN"/>
        </w:rPr>
        <w:t>.</w:t>
      </w:r>
    </w:p>
    <w:p w14:paraId="26195E44" w14:textId="35041EB6" w:rsidR="00845D5D" w:rsidRPr="0001238B" w:rsidRDefault="00782D8F" w:rsidP="0001238B">
      <w:pPr>
        <w:pStyle w:val="Heading1"/>
        <w:ind w:left="360"/>
        <w:rPr>
          <w:sz w:val="32"/>
        </w:rPr>
      </w:pPr>
      <w:r>
        <w:rPr>
          <w:sz w:val="32"/>
        </w:rPr>
        <w:t>BWP switching delay requirement</w:t>
      </w:r>
    </w:p>
    <w:p w14:paraId="50D3B38E" w14:textId="618359C0" w:rsidR="00A33AF7" w:rsidRPr="00703B82" w:rsidRDefault="00203A8F" w:rsidP="00703B82">
      <w:pPr>
        <w:spacing w:after="180"/>
        <w:contextualSpacing/>
      </w:pPr>
      <w:r>
        <w:t xml:space="preserve">BWP switch is triggered by two mechanisms: DCI based command or timer based reversion to default BWP. </w:t>
      </w:r>
      <w:r w:rsidR="009E5383">
        <w:t>Since i</w:t>
      </w:r>
      <w:r>
        <w:t xml:space="preserve">t has been </w:t>
      </w:r>
      <w:r w:rsidR="009E5383">
        <w:t xml:space="preserve">agreed that DCI-based and timer-based switching share the same delay requirement, this contribution focuses on the DCI-based BWP switching. </w:t>
      </w:r>
      <w:r w:rsidR="00A33AF7" w:rsidRPr="00703B82">
        <w:t>For DCI-based active BWP switch</w:t>
      </w:r>
      <w:r w:rsidR="00703B82">
        <w:t xml:space="preserve">, </w:t>
      </w:r>
      <w:r w:rsidR="00A33AF7" w:rsidRPr="00703B82">
        <w:t>the transition time of active DL or UL BWP switch is the time duration from the end of last OFDM symbol of the PDCCH carrying the active BWP switch DCI till the beginning of a slot indicated by K0 in the active DL BWP switch DCI or K2 in the active UL BWP switch DCI</w:t>
      </w:r>
      <w:r w:rsidR="00703B82">
        <w:t xml:space="preserve">. </w:t>
      </w:r>
      <w:r w:rsidR="0001238B">
        <w:rPr>
          <w:lang w:eastAsia="zh-CN"/>
        </w:rPr>
        <w:t>BWP switching delay, which is same as the transition time for BWP switching, is</w:t>
      </w:r>
      <w:r w:rsidR="00A33AF7">
        <w:rPr>
          <w:lang w:eastAsia="zh-CN"/>
        </w:rPr>
        <w:t xml:space="preserve"> the duration of BWP switching delay is the maximum time it takes UE to physically reconfigure RF and baseband from existing BWP to new BWP. During BWP switching delay, UE is not expected to transmit and receive data.</w:t>
      </w:r>
      <w:r w:rsidR="0002320C">
        <w:rPr>
          <w:lang w:eastAsia="zh-CN"/>
        </w:rPr>
        <w:t xml:space="preserve"> The BWP switching delay includes the following t</w:t>
      </w:r>
      <w:r w:rsidR="00FE7F34">
        <w:rPr>
          <w:lang w:eastAsia="zh-CN"/>
        </w:rPr>
        <w:t>hree</w:t>
      </w:r>
      <w:r w:rsidR="0002320C">
        <w:rPr>
          <w:lang w:eastAsia="zh-CN"/>
        </w:rPr>
        <w:t xml:space="preserve"> components:</w:t>
      </w:r>
    </w:p>
    <w:p w14:paraId="351A193B" w14:textId="77952A1D"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DCI decoding</w:t>
      </w:r>
    </w:p>
    <w:p w14:paraId="5FE6FF91" w14:textId="45C2AC31" w:rsidR="00A33AF7"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524C0E07" w14:textId="2F6AAFC7" w:rsidR="0002320C" w:rsidRDefault="0002320C" w:rsidP="00703B82">
      <w:pPr>
        <w:pStyle w:val="Header"/>
        <w:numPr>
          <w:ilvl w:val="0"/>
          <w:numId w:val="32"/>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p>
    <w:p w14:paraId="1676F8A0" w14:textId="77777777" w:rsidR="0001238B" w:rsidRPr="00BE4F07" w:rsidRDefault="0001238B" w:rsidP="00EE7DBD">
      <w:pPr>
        <w:spacing w:before="0" w:after="180"/>
        <w:contextualSpacing/>
        <w:rPr>
          <w:lang w:val="en-US" w:eastAsia="zh-CN"/>
        </w:rPr>
      </w:pPr>
    </w:p>
    <w:p w14:paraId="5C5CD7D3" w14:textId="4AD60F59" w:rsidR="009E077E" w:rsidRDefault="00793E31" w:rsidP="00EE7DBD">
      <w:pPr>
        <w:spacing w:before="0" w:after="180"/>
        <w:contextualSpacing/>
        <w:rPr>
          <w:lang w:eastAsia="zh-CN"/>
        </w:rPr>
      </w:pPr>
      <w:r>
        <w:rPr>
          <w:lang w:eastAsia="zh-CN"/>
        </w:rPr>
        <w:lastRenderedPageBreak/>
        <w:t xml:space="preserve">Furthermore, it has been approved that the BWP switching delay requirement is in the unit of slot of the serving cell. Therefore, the total delay time in terms of µs will be rounded to the next slot boundary for calculating the BWP switching delay. </w:t>
      </w:r>
      <w:r w:rsidR="00FC5641">
        <w:rPr>
          <w:lang w:eastAsia="zh-CN"/>
        </w:rPr>
        <w:t>In</w:t>
      </w:r>
      <w:r w:rsidR="00EE1C71">
        <w:rPr>
          <w:lang w:eastAsia="zh-CN"/>
        </w:rPr>
        <w:t xml:space="preserve"> </w:t>
      </w:r>
      <w:r w:rsidR="00EE1C71" w:rsidRPr="00EE1C71">
        <w:rPr>
          <w:lang w:eastAsia="zh-CN"/>
        </w:rPr>
        <w:fldChar w:fldCharType="begin"/>
      </w:r>
      <w:r w:rsidR="00EE1C71" w:rsidRPr="00EE1C71">
        <w:rPr>
          <w:lang w:eastAsia="zh-CN"/>
        </w:rPr>
        <w:instrText xml:space="preserve"> REF _Ref521423914 \h </w:instrText>
      </w:r>
      <w:r w:rsidR="00EE1C71">
        <w:rPr>
          <w:lang w:eastAsia="zh-CN"/>
        </w:rPr>
        <w:instrText xml:space="preserve"> \* MERGEFORMAT </w:instrText>
      </w:r>
      <w:r w:rsidR="00EE1C71" w:rsidRPr="00EE1C71">
        <w:rPr>
          <w:lang w:eastAsia="zh-CN"/>
        </w:rPr>
      </w:r>
      <w:r w:rsidR="00EE1C71" w:rsidRPr="00EE1C71">
        <w:rPr>
          <w:lang w:eastAsia="zh-CN"/>
        </w:rPr>
        <w:fldChar w:fldCharType="separate"/>
      </w:r>
      <w:r w:rsidR="00EE1C71" w:rsidRPr="00EE1C71">
        <w:t xml:space="preserve">Figure </w:t>
      </w:r>
      <w:r w:rsidR="00EE1C71" w:rsidRPr="00EE1C71">
        <w:rPr>
          <w:noProof/>
        </w:rPr>
        <w:t>1</w:t>
      </w:r>
      <w:r w:rsidR="00EE1C71" w:rsidRPr="00EE1C71">
        <w:rPr>
          <w:lang w:eastAsia="zh-CN"/>
        </w:rPr>
        <w:fldChar w:fldCharType="end"/>
      </w:r>
      <w:r w:rsidR="009E077E" w:rsidRPr="00EE1C71">
        <w:rPr>
          <w:lang w:eastAsia="zh-CN"/>
        </w:rPr>
        <w:t>,</w:t>
      </w:r>
      <w:r w:rsidR="009E077E">
        <w:rPr>
          <w:lang w:eastAsia="zh-CN"/>
        </w:rPr>
        <w:t xml:space="preserve"> the </w:t>
      </w:r>
      <w:r w:rsidR="003F284B">
        <w:rPr>
          <w:lang w:eastAsia="zh-CN"/>
        </w:rPr>
        <w:t>timeline for BWP switching delay</w:t>
      </w:r>
      <w:r>
        <w:rPr>
          <w:lang w:eastAsia="zh-CN"/>
        </w:rPr>
        <w:t xml:space="preserve"> (in the unit of slot)</w:t>
      </w:r>
      <w:r w:rsidR="009E077E">
        <w:rPr>
          <w:lang w:eastAsia="zh-CN"/>
        </w:rPr>
        <w:t xml:space="preserve"> is depicted</w:t>
      </w:r>
    </w:p>
    <w:p w14:paraId="4969C693" w14:textId="72ADB5BE" w:rsidR="00A8282D" w:rsidRDefault="00A8282D" w:rsidP="00EE7DBD">
      <w:pPr>
        <w:keepNext/>
        <w:spacing w:before="0" w:after="180"/>
        <w:contextualSpacing/>
      </w:pPr>
    </w:p>
    <w:p w14:paraId="4E2BBCBE" w14:textId="4D411F01" w:rsidR="00FC5641" w:rsidRDefault="0095229F" w:rsidP="00321DB7">
      <w:pPr>
        <w:keepNext/>
        <w:spacing w:before="0" w:after="180"/>
        <w:contextualSpacing/>
        <w:jc w:val="center"/>
      </w:pPr>
      <w:r>
        <w:object w:dxaOrig="10336" w:dyaOrig="4186" w14:anchorId="3B201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169.65pt" o:ole="">
            <v:imagedata r:id="rId12" o:title=""/>
          </v:shape>
          <o:OLEObject Type="Embed" ProgID="Visio.Drawing.15" ShapeID="_x0000_i1025" DrawAspect="Content" ObjectID="_1595419958" r:id="rId13"/>
        </w:object>
      </w:r>
    </w:p>
    <w:p w14:paraId="03534D44" w14:textId="73C5C840" w:rsidR="009E077E" w:rsidRPr="00D46769" w:rsidRDefault="00EE1C71" w:rsidP="00EE1C71">
      <w:pPr>
        <w:pStyle w:val="Caption"/>
        <w:jc w:val="center"/>
        <w:rPr>
          <w:b w:val="0"/>
          <w:sz w:val="18"/>
          <w:szCs w:val="18"/>
          <w:lang w:eastAsia="zh-CN"/>
        </w:rPr>
      </w:pPr>
      <w:bookmarkStart w:id="2" w:name="_Ref521423914"/>
      <w:r w:rsidRPr="00EE1C71">
        <w:rPr>
          <w:sz w:val="18"/>
          <w:szCs w:val="18"/>
        </w:rPr>
        <w:t xml:space="preserve">Figure </w:t>
      </w:r>
      <w:r w:rsidRPr="00EE1C71">
        <w:rPr>
          <w:sz w:val="18"/>
          <w:szCs w:val="18"/>
        </w:rPr>
        <w:fldChar w:fldCharType="begin"/>
      </w:r>
      <w:r w:rsidRPr="00EE1C71">
        <w:rPr>
          <w:sz w:val="18"/>
          <w:szCs w:val="18"/>
        </w:rPr>
        <w:instrText xml:space="preserve"> SEQ Figure \* ARABIC </w:instrText>
      </w:r>
      <w:r w:rsidRPr="00EE1C71">
        <w:rPr>
          <w:sz w:val="18"/>
          <w:szCs w:val="18"/>
        </w:rPr>
        <w:fldChar w:fldCharType="separate"/>
      </w:r>
      <w:r>
        <w:rPr>
          <w:noProof/>
          <w:sz w:val="18"/>
          <w:szCs w:val="18"/>
        </w:rPr>
        <w:t>1</w:t>
      </w:r>
      <w:r w:rsidRPr="00EE1C71">
        <w:rPr>
          <w:sz w:val="18"/>
          <w:szCs w:val="18"/>
        </w:rPr>
        <w:fldChar w:fldCharType="end"/>
      </w:r>
      <w:bookmarkEnd w:id="2"/>
      <w:r w:rsidR="00A8282D" w:rsidRPr="00EE1C71">
        <w:rPr>
          <w:sz w:val="18"/>
          <w:szCs w:val="18"/>
        </w:rPr>
        <w:t>: Illustration</w:t>
      </w:r>
      <w:r w:rsidR="00A8282D" w:rsidRPr="00D46769">
        <w:rPr>
          <w:sz w:val="18"/>
          <w:szCs w:val="18"/>
        </w:rPr>
        <w:t xml:space="preserve"> of the definitions of BWP switching delay</w:t>
      </w:r>
      <w:r w:rsidR="00061560">
        <w:rPr>
          <w:sz w:val="18"/>
          <w:szCs w:val="18"/>
        </w:rPr>
        <w:t xml:space="preserve"> in the unit of slot</w:t>
      </w:r>
    </w:p>
    <w:p w14:paraId="70D08E18" w14:textId="77777777" w:rsidR="009E077E" w:rsidRDefault="009E077E" w:rsidP="00EE7DBD">
      <w:pPr>
        <w:spacing w:before="0" w:after="180"/>
        <w:contextualSpacing/>
        <w:rPr>
          <w:b/>
          <w:lang w:eastAsia="zh-CN"/>
        </w:rPr>
      </w:pPr>
    </w:p>
    <w:p w14:paraId="66D5A448" w14:textId="2FB93DC2" w:rsidR="00182164" w:rsidRDefault="003F284B" w:rsidP="00246C4B">
      <w:pPr>
        <w:contextualSpacing/>
        <w:rPr>
          <w:lang w:eastAsia="zh-TW"/>
        </w:rPr>
      </w:pPr>
      <w:r>
        <w:rPr>
          <w:lang w:eastAsia="zh-TW"/>
        </w:rPr>
        <w:t>The BWP switch discussed in RAN4 group focuses on the case of DCI based BWP switching. The delay time</w:t>
      </w:r>
      <w:r w:rsidR="009E077E" w:rsidRPr="003F284B">
        <w:rPr>
          <w:lang w:eastAsia="zh-TW"/>
        </w:rPr>
        <w:t xml:space="preserve"> include</w:t>
      </w:r>
      <w:r>
        <w:rPr>
          <w:lang w:eastAsia="zh-TW"/>
        </w:rPr>
        <w:t>s</w:t>
      </w:r>
      <w:r w:rsidR="009E077E" w:rsidRPr="003F284B">
        <w:rPr>
          <w:lang w:eastAsia="zh-TW"/>
        </w:rPr>
        <w:t xml:space="preserve"> the time used to decode DCI (in case of DCI based BWP switch), recalculate RF/baseband configuration (e.g. spur estimation, synthesizers reprogramming estimation and LOWIF calculation etc.) and the time UE physically reconfigure RF and baseband.</w:t>
      </w:r>
      <w:r>
        <w:t xml:space="preserve"> </w:t>
      </w:r>
      <w:r w:rsidR="009E077E" w:rsidRPr="003F284B">
        <w:rPr>
          <w:lang w:eastAsia="zh-TW"/>
        </w:rPr>
        <w:t xml:space="preserve">No UE DL and UL </w:t>
      </w:r>
      <w:r>
        <w:rPr>
          <w:lang w:eastAsia="zh-TW"/>
        </w:rPr>
        <w:t>data transmission/reception</w:t>
      </w:r>
      <w:r w:rsidR="009E077E" w:rsidRPr="003F284B">
        <w:rPr>
          <w:lang w:eastAsia="zh-TW"/>
        </w:rPr>
        <w:t xml:space="preserve"> is expected</w:t>
      </w:r>
      <w:r>
        <w:rPr>
          <w:lang w:eastAsia="zh-TW"/>
        </w:rPr>
        <w:t xml:space="preserve"> during the BWP switching delay duration</w:t>
      </w:r>
      <w:r w:rsidR="009E077E" w:rsidRPr="003F284B">
        <w:rPr>
          <w:lang w:eastAsia="zh-TW"/>
        </w:rPr>
        <w:t xml:space="preserve">. </w:t>
      </w:r>
    </w:p>
    <w:p w14:paraId="7B37AF50" w14:textId="77777777" w:rsidR="00246C4B" w:rsidRDefault="00246C4B" w:rsidP="00246C4B">
      <w:pPr>
        <w:contextualSpacing/>
        <w:rPr>
          <w:lang w:eastAsia="zh-TW"/>
        </w:rPr>
      </w:pPr>
    </w:p>
    <w:p w14:paraId="13E7C07A" w14:textId="4CEA6DA0" w:rsidR="00246C4B" w:rsidRDefault="00182164" w:rsidP="00246C4B">
      <w:pPr>
        <w:contextualSpacing/>
        <w:rPr>
          <w:lang w:eastAsia="zh-TW"/>
        </w:rPr>
      </w:pPr>
      <w:r>
        <w:rPr>
          <w:lang w:eastAsia="zh-TW"/>
        </w:rPr>
        <w:t xml:space="preserve">For DCI decoding, it takes </w:t>
      </w:r>
      <w:r w:rsidR="00BE091E">
        <w:rPr>
          <w:lang w:eastAsia="zh-TW"/>
        </w:rPr>
        <w:t>about 350µ</w:t>
      </w:r>
      <w:r w:rsidR="005047D6">
        <w:rPr>
          <w:lang w:eastAsia="zh-TW"/>
        </w:rPr>
        <w:t>s, which includes PDCCH decoding and AGC adjustment.</w:t>
      </w:r>
      <w:r w:rsidR="002F29F3">
        <w:rPr>
          <w:lang w:eastAsia="zh-TW"/>
        </w:rPr>
        <w:t xml:space="preserve"> The time for RF t</w:t>
      </w:r>
      <w:r w:rsidR="00E4379C">
        <w:rPr>
          <w:lang w:eastAsia="zh-TW"/>
        </w:rPr>
        <w:t>uning is 500µ</w:t>
      </w:r>
      <w:r w:rsidR="00494478">
        <w:rPr>
          <w:lang w:eastAsia="zh-TW"/>
        </w:rPr>
        <w:t>s for FR</w:t>
      </w:r>
      <w:r w:rsidR="002F29F3">
        <w:rPr>
          <w:lang w:eastAsia="zh-TW"/>
        </w:rPr>
        <w:t>1</w:t>
      </w:r>
      <w:r w:rsidR="00E4379C">
        <w:rPr>
          <w:lang w:eastAsia="zh-TW"/>
        </w:rPr>
        <w:t xml:space="preserve"> (or 250</w:t>
      </w:r>
      <w:r w:rsidR="001032EB">
        <w:rPr>
          <w:lang w:eastAsia="zh-TW"/>
        </w:rPr>
        <w:t>µ</w:t>
      </w:r>
      <w:r w:rsidR="00494478">
        <w:rPr>
          <w:lang w:eastAsia="zh-TW"/>
        </w:rPr>
        <w:t>s for FR2)</w:t>
      </w:r>
      <w:r w:rsidR="002F29F3">
        <w:rPr>
          <w:lang w:eastAsia="zh-TW"/>
        </w:rPr>
        <w:t>. The main delay duration for BWP switching comes from the procedure of preparing for the RF/baseband reconfiguration</w:t>
      </w:r>
      <w:r w:rsidR="00E875A5">
        <w:rPr>
          <w:lang w:eastAsia="zh-TW"/>
        </w:rPr>
        <w:t xml:space="preserve">, which </w:t>
      </w:r>
      <w:r w:rsidR="00CE57CC">
        <w:rPr>
          <w:lang w:eastAsia="zh-TW"/>
        </w:rPr>
        <w:t>is</w:t>
      </w:r>
      <w:r w:rsidR="00E875A5">
        <w:rPr>
          <w:lang w:eastAsia="zh-TW"/>
        </w:rPr>
        <w:t xml:space="preserve"> the software overhead to progra</w:t>
      </w:r>
      <w:r w:rsidR="00BE091E">
        <w:rPr>
          <w:lang w:eastAsia="zh-TW"/>
        </w:rPr>
        <w:t xml:space="preserve">m </w:t>
      </w:r>
      <w:r w:rsidR="00E875A5">
        <w:rPr>
          <w:lang w:eastAsia="zh-TW"/>
        </w:rPr>
        <w:t>base</w:t>
      </w:r>
      <w:r w:rsidR="00BE091E">
        <w:rPr>
          <w:lang w:eastAsia="zh-TW"/>
        </w:rPr>
        <w:t>band</w:t>
      </w:r>
      <w:r w:rsidR="00E875A5">
        <w:rPr>
          <w:lang w:eastAsia="zh-TW"/>
        </w:rPr>
        <w:t>/RF</w:t>
      </w:r>
      <w:r w:rsidR="000F7534">
        <w:rPr>
          <w:lang w:eastAsia="zh-TW"/>
        </w:rPr>
        <w:t xml:space="preserve"> [3]</w:t>
      </w:r>
      <w:r w:rsidR="002F29F3">
        <w:rPr>
          <w:lang w:eastAsia="zh-TW"/>
        </w:rPr>
        <w:t xml:space="preserve">. </w:t>
      </w:r>
    </w:p>
    <w:p w14:paraId="224D9177" w14:textId="77777777" w:rsidR="00246C4B" w:rsidRDefault="00246C4B" w:rsidP="00246C4B">
      <w:pPr>
        <w:contextualSpacing/>
        <w:rPr>
          <w:lang w:eastAsia="zh-TW"/>
        </w:rPr>
      </w:pPr>
    </w:p>
    <w:p w14:paraId="7A01C984" w14:textId="2E80D8D4" w:rsidR="001032EB" w:rsidRDefault="000F7534" w:rsidP="0008656C">
      <w:pPr>
        <w:contextualSpacing/>
        <w:rPr>
          <w:lang w:eastAsia="zh-TW"/>
        </w:rPr>
      </w:pPr>
      <w:r>
        <w:t xml:space="preserve">The </w:t>
      </w:r>
      <w:r>
        <w:rPr>
          <w:lang w:eastAsia="zh-TW"/>
        </w:rPr>
        <w:t>software</w:t>
      </w:r>
      <w:r w:rsidR="00934232">
        <w:t xml:space="preserve"> overhead delay </w:t>
      </w:r>
      <w:r w:rsidR="001032EB">
        <w:t xml:space="preserve">does not only </w:t>
      </w:r>
      <w:r>
        <w:t xml:space="preserve">depend on </w:t>
      </w:r>
      <w:r w:rsidR="00BE091E">
        <w:t>what aspect of BWP are changing, e.g., SCS, bandwidth</w:t>
      </w:r>
      <w:r>
        <w:t>, LO position</w:t>
      </w:r>
      <w:r w:rsidR="001032EB">
        <w:t xml:space="preserve"> </w:t>
      </w:r>
      <w:r w:rsidR="00970A06">
        <w:t>etc.</w:t>
      </w:r>
      <w:r w:rsidR="001032EB">
        <w:t xml:space="preserve">, but also depends on what software architecture is adopted in UE implementation. </w:t>
      </w:r>
      <w:r w:rsidR="00246C4B">
        <w:rPr>
          <w:lang w:eastAsia="zh-TW"/>
        </w:rPr>
        <w:t>In [2], t</w:t>
      </w:r>
      <w:r w:rsidR="00246C4B" w:rsidRPr="00246C4B">
        <w:rPr>
          <w:lang w:eastAsia="zh-TW"/>
        </w:rPr>
        <w:t xml:space="preserve">he BWP switching delay parameters are </w:t>
      </w:r>
      <w:r w:rsidR="00246C4B">
        <w:rPr>
          <w:lang w:eastAsia="zh-TW"/>
        </w:rPr>
        <w:t>specified</w:t>
      </w:r>
      <w:r w:rsidR="00A3206A">
        <w:rPr>
          <w:lang w:eastAsia="zh-TW"/>
        </w:rPr>
        <w:t>, i.e., Type 1 delay is 600µs for scenario 1/2/3 and 400µs for scenario 4; Type 2 delay is 2000µs for scenario 1/2/3 and 950µs for scenario 4.</w:t>
      </w:r>
      <w:r w:rsidR="0008656C">
        <w:rPr>
          <w:lang w:eastAsia="zh-TW"/>
        </w:rPr>
        <w:t xml:space="preserve"> </w:t>
      </w:r>
      <w:r w:rsidR="001032EB">
        <w:rPr>
          <w:lang w:eastAsia="zh-TW"/>
        </w:rPr>
        <w:t>As it is explained in</w:t>
      </w:r>
      <w:r w:rsidR="00A92E01">
        <w:rPr>
          <w:lang w:eastAsia="zh-TW"/>
        </w:rPr>
        <w:t xml:space="preserve"> [</w:t>
      </w:r>
      <w:r w:rsidR="001032EB">
        <w:rPr>
          <w:lang w:eastAsia="zh-TW"/>
        </w:rPr>
        <w:t>3</w:t>
      </w:r>
      <w:r w:rsidR="00A92E01">
        <w:rPr>
          <w:lang w:eastAsia="zh-TW"/>
        </w:rPr>
        <w:t>],</w:t>
      </w:r>
      <w:r w:rsidR="0008656C">
        <w:rPr>
          <w:lang w:eastAsia="zh-TW"/>
        </w:rPr>
        <w:t xml:space="preserve"> </w:t>
      </w:r>
      <w:r w:rsidR="001032EB">
        <w:rPr>
          <w:lang w:eastAsia="zh-TW"/>
        </w:rPr>
        <w:t xml:space="preserve">the existing delay requirement is based on the assumption that </w:t>
      </w:r>
      <w:r w:rsidR="0008656C">
        <w:rPr>
          <w:lang w:eastAsia="zh-TW"/>
        </w:rPr>
        <w:t>software overhead</w:t>
      </w:r>
      <w:r w:rsidR="0045530D">
        <w:rPr>
          <w:lang w:eastAsia="zh-TW"/>
        </w:rPr>
        <w:t>s</w:t>
      </w:r>
      <w:r w:rsidR="0008656C">
        <w:rPr>
          <w:lang w:eastAsia="zh-TW"/>
        </w:rPr>
        <w:t xml:space="preserve"> </w:t>
      </w:r>
      <w:r w:rsidR="00A92E01">
        <w:rPr>
          <w:lang w:eastAsia="zh-TW"/>
        </w:rPr>
        <w:t>are</w:t>
      </w:r>
      <w:r w:rsidR="0008656C">
        <w:rPr>
          <w:lang w:eastAsia="zh-TW"/>
        </w:rPr>
        <w:t xml:space="preserve"> </w:t>
      </w:r>
      <w:r w:rsidR="00A92E01">
        <w:rPr>
          <w:lang w:eastAsia="zh-TW"/>
        </w:rPr>
        <w:t xml:space="preserve">set to be 650µs for </w:t>
      </w:r>
      <w:r w:rsidR="001032EB">
        <w:rPr>
          <w:lang w:eastAsia="zh-TW"/>
        </w:rPr>
        <w:t xml:space="preserve">scenario 4 </w:t>
      </w:r>
      <w:r w:rsidR="00A92E01">
        <w:rPr>
          <w:lang w:eastAsia="zh-TW"/>
        </w:rPr>
        <w:t xml:space="preserve">and 1.3ms for </w:t>
      </w:r>
      <w:r w:rsidR="001032EB">
        <w:rPr>
          <w:lang w:eastAsia="zh-TW"/>
        </w:rPr>
        <w:t>scenario 1/2/3</w:t>
      </w:r>
      <w:r w:rsidR="00A92E01">
        <w:rPr>
          <w:lang w:eastAsia="zh-TW"/>
        </w:rPr>
        <w:t>. Such</w:t>
      </w:r>
      <w:r w:rsidR="0008656C">
        <w:rPr>
          <w:lang w:eastAsia="zh-TW"/>
        </w:rPr>
        <w:t xml:space="preserve"> the delay requirements are aggressive for UE implementation. </w:t>
      </w:r>
      <w:r w:rsidR="00CA7703">
        <w:rPr>
          <w:lang w:eastAsia="zh-TW"/>
        </w:rPr>
        <w:t>Even w</w:t>
      </w:r>
      <w:r w:rsidR="00ED2337">
        <w:rPr>
          <w:lang w:eastAsia="zh-TW"/>
        </w:rPr>
        <w:t xml:space="preserve">hen BWP switching </w:t>
      </w:r>
      <w:r w:rsidR="00CA7703">
        <w:rPr>
          <w:lang w:eastAsia="zh-TW"/>
        </w:rPr>
        <w:t>with SCS change only</w:t>
      </w:r>
      <w:r w:rsidR="00A0652E">
        <w:rPr>
          <w:lang w:eastAsia="zh-TW"/>
        </w:rPr>
        <w:t xml:space="preserve"> (in scenario 4</w:t>
      </w:r>
      <w:r w:rsidR="00CA7703">
        <w:rPr>
          <w:lang w:eastAsia="zh-TW"/>
        </w:rPr>
        <w:t xml:space="preserve"> </w:t>
      </w:r>
      <w:r w:rsidR="00ED2337">
        <w:rPr>
          <w:lang w:eastAsia="zh-TW"/>
        </w:rPr>
        <w:t xml:space="preserve">occurs, </w:t>
      </w:r>
      <w:r w:rsidR="001032EB">
        <w:rPr>
          <w:lang w:eastAsia="zh-TW"/>
        </w:rPr>
        <w:t xml:space="preserve">all </w:t>
      </w:r>
      <w:r w:rsidR="002A4296" w:rsidRPr="002A4296">
        <w:rPr>
          <w:lang w:eastAsia="zh-TW"/>
        </w:rPr>
        <w:t xml:space="preserve">related </w:t>
      </w:r>
      <w:r w:rsidR="002A4296">
        <w:rPr>
          <w:lang w:eastAsia="zh-TW"/>
        </w:rPr>
        <w:t>estimators and</w:t>
      </w:r>
      <w:r w:rsidR="00CA7703">
        <w:rPr>
          <w:lang w:eastAsia="zh-TW"/>
        </w:rPr>
        <w:t xml:space="preserve"> adaptive filters need to be </w:t>
      </w:r>
      <w:r w:rsidR="002A4296">
        <w:rPr>
          <w:lang w:eastAsia="zh-TW"/>
        </w:rPr>
        <w:t>re</w:t>
      </w:r>
      <w:r w:rsidR="00CA7703">
        <w:rPr>
          <w:lang w:eastAsia="zh-TW"/>
        </w:rPr>
        <w:t>configured for the new BWP</w:t>
      </w:r>
      <w:r w:rsidR="002A4296">
        <w:rPr>
          <w:lang w:eastAsia="zh-TW"/>
        </w:rPr>
        <w:t xml:space="preserve"> and the measurement resources regarding on the old BWP will be aborted. Such internal resource mapping and reconfiguration</w:t>
      </w:r>
      <w:r w:rsidR="00494942">
        <w:rPr>
          <w:lang w:eastAsia="zh-TW"/>
        </w:rPr>
        <w:t xml:space="preserve"> </w:t>
      </w:r>
      <w:r w:rsidR="00C201FF">
        <w:rPr>
          <w:lang w:eastAsia="zh-TW"/>
        </w:rPr>
        <w:t>may be run in</w:t>
      </w:r>
      <w:r w:rsidR="00ED2337">
        <w:rPr>
          <w:lang w:eastAsia="zh-TW"/>
        </w:rPr>
        <w:t xml:space="preserve"> </w:t>
      </w:r>
      <w:r w:rsidR="00C201FF">
        <w:rPr>
          <w:lang w:eastAsia="zh-TW"/>
        </w:rPr>
        <w:t>semi-</w:t>
      </w:r>
      <w:r w:rsidR="00C201FF" w:rsidRPr="00C201FF">
        <w:rPr>
          <w:lang w:eastAsia="zh-TW"/>
        </w:rPr>
        <w:t>dynamic</w:t>
      </w:r>
      <w:r w:rsidR="00C201FF">
        <w:rPr>
          <w:lang w:eastAsia="zh-TW"/>
        </w:rPr>
        <w:t xml:space="preserve"> way depending on the software </w:t>
      </w:r>
      <w:r w:rsidR="00ED2337">
        <w:rPr>
          <w:lang w:eastAsia="zh-TW"/>
        </w:rPr>
        <w:t>architecture</w:t>
      </w:r>
      <w:r w:rsidR="00C201FF">
        <w:rPr>
          <w:lang w:eastAsia="zh-TW"/>
        </w:rPr>
        <w:t xml:space="preserve"> in use</w:t>
      </w:r>
      <w:r w:rsidR="002F29F3">
        <w:rPr>
          <w:lang w:eastAsia="zh-TW"/>
        </w:rPr>
        <w:t>.</w:t>
      </w:r>
      <w:r w:rsidR="000844A0">
        <w:rPr>
          <w:lang w:eastAsia="zh-TW"/>
        </w:rPr>
        <w:t xml:space="preserve"> Th</w:t>
      </w:r>
      <w:r w:rsidR="001032EB">
        <w:rPr>
          <w:lang w:eastAsia="zh-TW"/>
        </w:rPr>
        <w:t>us</w:t>
      </w:r>
      <w:r w:rsidR="000844A0">
        <w:rPr>
          <w:lang w:eastAsia="zh-TW"/>
        </w:rPr>
        <w:t xml:space="preserve">, </w:t>
      </w:r>
      <w:r w:rsidR="001032EB">
        <w:rPr>
          <w:lang w:eastAsia="zh-TW"/>
        </w:rPr>
        <w:t>we propose that the</w:t>
      </w:r>
      <w:r w:rsidR="00CE57CC">
        <w:rPr>
          <w:lang w:eastAsia="zh-TW"/>
        </w:rPr>
        <w:t xml:space="preserve"> software overhead </w:t>
      </w:r>
      <w:r w:rsidR="00C201FF">
        <w:rPr>
          <w:lang w:eastAsia="zh-TW"/>
        </w:rPr>
        <w:t xml:space="preserve">delay is </w:t>
      </w:r>
      <w:r w:rsidR="000844A0" w:rsidRPr="000844A0">
        <w:rPr>
          <w:b/>
          <w:lang w:eastAsia="zh-TW"/>
        </w:rPr>
        <w:t>1</w:t>
      </w:r>
      <w:r w:rsidR="00CE57CC">
        <w:rPr>
          <w:b/>
          <w:lang w:eastAsia="zh-TW"/>
        </w:rPr>
        <w:t>.5</w:t>
      </w:r>
      <w:r w:rsidR="000844A0" w:rsidRPr="000844A0">
        <w:rPr>
          <w:b/>
          <w:lang w:eastAsia="zh-TW"/>
        </w:rPr>
        <w:t>ms</w:t>
      </w:r>
      <w:r w:rsidR="000844A0">
        <w:rPr>
          <w:lang w:eastAsia="zh-TW"/>
        </w:rPr>
        <w:t xml:space="preserve"> </w:t>
      </w:r>
      <w:r w:rsidR="00CE57CC">
        <w:rPr>
          <w:lang w:eastAsia="zh-TW"/>
        </w:rPr>
        <w:t xml:space="preserve">for BWP switching in scenario 4 and </w:t>
      </w:r>
      <w:r w:rsidR="00CE57CC" w:rsidRPr="00CE57CC">
        <w:rPr>
          <w:b/>
          <w:lang w:eastAsia="zh-TW"/>
        </w:rPr>
        <w:t>2ms</w:t>
      </w:r>
      <w:r w:rsidR="001032EB">
        <w:rPr>
          <w:b/>
          <w:lang w:eastAsia="zh-TW"/>
        </w:rPr>
        <w:t xml:space="preserve"> </w:t>
      </w:r>
      <w:r w:rsidR="001032EB" w:rsidRPr="001032EB">
        <w:rPr>
          <w:lang w:eastAsia="zh-TW"/>
        </w:rPr>
        <w:t>for</w:t>
      </w:r>
      <w:r w:rsidR="001032EB">
        <w:rPr>
          <w:b/>
          <w:lang w:eastAsia="zh-TW"/>
        </w:rPr>
        <w:t xml:space="preserve"> </w:t>
      </w:r>
      <w:r w:rsidR="001032EB">
        <w:rPr>
          <w:lang w:eastAsia="zh-TW"/>
        </w:rPr>
        <w:t>BWP switching in scenario 1/2/3</w:t>
      </w:r>
      <w:r w:rsidR="000844A0">
        <w:rPr>
          <w:lang w:eastAsia="zh-TW"/>
        </w:rPr>
        <w:t xml:space="preserve">. </w:t>
      </w:r>
      <w:r w:rsidR="00BE4F07">
        <w:rPr>
          <w:lang w:eastAsia="zh-TW"/>
        </w:rPr>
        <w:t xml:space="preserve">The resulting BWP switching delay is </w:t>
      </w:r>
    </w:p>
    <w:p w14:paraId="41F461F1" w14:textId="77777777" w:rsidR="00BE4F07" w:rsidRDefault="00BE4F07" w:rsidP="0008656C">
      <w:pPr>
        <w:contextualSpacing/>
        <w:rPr>
          <w:lang w:eastAsia="zh-TW"/>
        </w:rPr>
      </w:pPr>
    </w:p>
    <w:p w14:paraId="0B6FA8DE" w14:textId="33DF6D7A" w:rsidR="007C4CDC" w:rsidRPr="007C4CDC" w:rsidRDefault="00454025" w:rsidP="0008656C">
      <w:pPr>
        <w:contextualSpacing/>
        <w:rPr>
          <w:lang w:eastAsia="zh-TW"/>
        </w:rPr>
      </w:pPr>
      <m:oMathPara>
        <m:oMathParaPr>
          <m:jc m:val="left"/>
        </m:oMathParaPr>
        <m:oMath>
          <m:sSub>
            <m:sSubPr>
              <m:ctrlPr>
                <w:rPr>
                  <w:rFonts w:ascii="Cambria Math" w:hAnsi="Cambria Math"/>
                  <w:i/>
                  <w:lang w:eastAsia="zh-TW"/>
                </w:rPr>
              </m:ctrlPr>
            </m:sSubPr>
            <m:e>
              <m:r>
                <m:rPr>
                  <m:nor/>
                </m:rPr>
                <w:rPr>
                  <w:rFonts w:ascii="Cambria Math" w:hAnsi="Cambria Math"/>
                  <w:lang w:eastAsia="zh-TW"/>
                </w:rPr>
                <m:t>T</m:t>
              </m:r>
              <m:ctrlPr>
                <w:rPr>
                  <w:rFonts w:ascii="Cambria Math" w:hAnsi="Cambria Math"/>
                  <w:lang w:eastAsia="zh-TW"/>
                </w:rPr>
              </m:ctrlPr>
            </m:e>
            <m:sub>
              <m:r>
                <m:rPr>
                  <m:nor/>
                </m:rPr>
                <w:rPr>
                  <w:rFonts w:ascii="Cambria Math" w:hAnsi="Cambria Math"/>
                  <w:lang w:eastAsia="zh-TW"/>
                </w:rPr>
                <m:t>BWP Switch Delay</m:t>
              </m:r>
            </m:sub>
          </m:sSub>
          <m:r>
            <w:rPr>
              <w:rFonts w:ascii="Cambria Math" w:hAnsi="Cambria Math"/>
              <w:lang w:eastAsia="zh-TW"/>
            </w:rPr>
            <m:t>=</m:t>
          </m:r>
          <m:sSub>
            <m:sSubPr>
              <m:ctrlPr>
                <w:rPr>
                  <w:rFonts w:ascii="Cambria Math" w:hAnsi="Cambria Math"/>
                  <w:i/>
                  <w:lang w:eastAsia="zh-TW"/>
                </w:rPr>
              </m:ctrlPr>
            </m:sSubPr>
            <m:e>
              <m:r>
                <m:rPr>
                  <m:nor/>
                </m:rPr>
                <w:rPr>
                  <w:rFonts w:ascii="Cambria Math" w:hAnsi="Cambria Math"/>
                  <w:lang w:eastAsia="zh-TW"/>
                </w:rPr>
                <m:t>T</m:t>
              </m:r>
              <m:ctrlPr>
                <w:rPr>
                  <w:rFonts w:ascii="Cambria Math" w:hAnsi="Cambria Math"/>
                  <w:lang w:eastAsia="zh-TW"/>
                </w:rPr>
              </m:ctrlPr>
            </m:e>
            <m:sub>
              <m:r>
                <m:rPr>
                  <m:nor/>
                </m:rPr>
                <w:rPr>
                  <w:rFonts w:ascii="Cambria Math" w:hAnsi="Cambria Math"/>
                  <w:lang w:eastAsia="zh-TW"/>
                </w:rPr>
                <m:t>DCI decoding</m:t>
              </m:r>
            </m:sub>
          </m:sSub>
          <m:r>
            <w:rPr>
              <w:rFonts w:ascii="Cambria Math" w:hAnsi="Cambria Math"/>
              <w:lang w:eastAsia="zh-TW"/>
            </w:rPr>
            <m:t>+</m:t>
          </m:r>
          <m:sSub>
            <m:sSubPr>
              <m:ctrlPr>
                <w:rPr>
                  <w:rFonts w:ascii="Cambria Math" w:hAnsi="Cambria Math"/>
                  <w:i/>
                  <w:lang w:eastAsia="zh-TW"/>
                </w:rPr>
              </m:ctrlPr>
            </m:sSubPr>
            <m:e>
              <m:r>
                <m:rPr>
                  <m:nor/>
                </m:rPr>
                <w:rPr>
                  <w:rFonts w:ascii="Cambria Math" w:hAnsi="Cambria Math"/>
                  <w:lang w:eastAsia="zh-TW"/>
                </w:rPr>
                <m:t>T</m:t>
              </m:r>
              <m:ctrlPr>
                <w:rPr>
                  <w:rFonts w:ascii="Cambria Math" w:hAnsi="Cambria Math"/>
                  <w:lang w:eastAsia="zh-TW"/>
                </w:rPr>
              </m:ctrlPr>
            </m:e>
            <m:sub>
              <m:r>
                <m:rPr>
                  <m:nor/>
                </m:rPr>
                <w:rPr>
                  <w:rFonts w:ascii="Cambria Math" w:hAnsi="Cambria Math"/>
                  <w:lang w:eastAsia="zh-TW"/>
                </w:rPr>
                <m:t>prepare RF/Baseband parameter</m:t>
              </m:r>
            </m:sub>
          </m:sSub>
          <m:r>
            <w:rPr>
              <w:rFonts w:ascii="Cambria Math" w:hAnsi="Cambria Math"/>
              <w:lang w:eastAsia="zh-TW"/>
            </w:rPr>
            <m:t>+</m:t>
          </m:r>
          <m:sSub>
            <m:sSubPr>
              <m:ctrlPr>
                <w:rPr>
                  <w:rFonts w:ascii="Cambria Math" w:hAnsi="Cambria Math"/>
                  <w:i/>
                  <w:lang w:eastAsia="zh-TW"/>
                </w:rPr>
              </m:ctrlPr>
            </m:sSubPr>
            <m:e>
              <m:r>
                <m:rPr>
                  <m:nor/>
                </m:rPr>
                <w:rPr>
                  <w:rFonts w:ascii="Cambria Math" w:hAnsi="Cambria Math"/>
                  <w:lang w:eastAsia="zh-TW"/>
                </w:rPr>
                <m:t>T</m:t>
              </m:r>
              <m:ctrlPr>
                <w:rPr>
                  <w:rFonts w:ascii="Cambria Math" w:hAnsi="Cambria Math"/>
                  <w:lang w:eastAsia="zh-TW"/>
                </w:rPr>
              </m:ctrlPr>
            </m:e>
            <m:sub>
              <m:r>
                <m:rPr>
                  <m:nor/>
                </m:rPr>
                <w:rPr>
                  <w:rFonts w:ascii="Cambria Math" w:hAnsi="Cambria Math"/>
                  <w:lang w:eastAsia="zh-TW"/>
                </w:rPr>
                <m:t>RF tuning</m:t>
              </m:r>
            </m:sub>
          </m:sSub>
          <m:r>
            <w:rPr>
              <w:rFonts w:ascii="Cambria Math" w:hAnsi="Cambria Math"/>
              <w:lang w:eastAsia="zh-TW"/>
            </w:rPr>
            <m:t>+</m:t>
          </m:r>
          <m:r>
            <m:rPr>
              <m:nor/>
            </m:rPr>
            <w:rPr>
              <w:rFonts w:ascii="Cambria Math" w:hAnsi="Cambria Math"/>
              <w:lang w:eastAsia="zh-TW"/>
            </w:rPr>
            <m:t>margin</m:t>
          </m:r>
        </m:oMath>
      </m:oMathPara>
    </w:p>
    <w:p w14:paraId="526B88BD" w14:textId="6CCAFCE6" w:rsidR="00BE4F07" w:rsidRDefault="007C4CDC" w:rsidP="007C4CDC">
      <w:pPr>
        <w:ind w:left="1152"/>
        <w:contextualSpacing/>
        <w:rPr>
          <w:lang w:eastAsia="zh-TW"/>
        </w:rPr>
      </w:pPr>
      <m:oMath>
        <m:r>
          <w:rPr>
            <w:rFonts w:ascii="Cambria Math" w:hAnsi="Cambria Math"/>
            <w:lang w:eastAsia="zh-TW"/>
          </w:rPr>
          <m:t xml:space="preserve">  =350us+1500us</m:t>
        </m:r>
        <m:d>
          <m:dPr>
            <m:ctrlPr>
              <w:rPr>
                <w:rFonts w:ascii="Cambria Math" w:hAnsi="Cambria Math"/>
                <w:i/>
                <w:lang w:eastAsia="zh-TW"/>
              </w:rPr>
            </m:ctrlPr>
          </m:dPr>
          <m:e>
            <m:r>
              <m:rPr>
                <m:nor/>
              </m:rPr>
              <w:rPr>
                <w:rFonts w:ascii="Cambria Math" w:hAnsi="Cambria Math"/>
                <w:lang w:eastAsia="zh-TW"/>
              </w:rPr>
              <m:t>or</m:t>
            </m:r>
            <m:r>
              <w:rPr>
                <w:rFonts w:ascii="Cambria Math" w:hAnsi="Cambria Math"/>
                <w:lang w:eastAsia="zh-TW"/>
              </w:rPr>
              <m:t xml:space="preserve"> 2000us</m:t>
            </m:r>
          </m:e>
        </m:d>
        <m:r>
          <w:rPr>
            <w:rFonts w:ascii="Cambria Math" w:hAnsi="Cambria Math"/>
            <w:lang w:eastAsia="zh-TW"/>
          </w:rPr>
          <m:t>+500us+</m:t>
        </m:r>
        <m:r>
          <m:rPr>
            <m:nor/>
          </m:rPr>
          <w:rPr>
            <w:rFonts w:ascii="Cambria Math" w:hAnsi="Cambria Math"/>
            <w:lang w:eastAsia="zh-TW"/>
          </w:rPr>
          <m:t>margin</m:t>
        </m:r>
        <m:r>
          <w:rPr>
            <w:rFonts w:ascii="Cambria Math" w:hAnsi="Cambria Math"/>
            <w:lang w:eastAsia="zh-TW"/>
          </w:rPr>
          <m:t>≈</m:t>
        </m:r>
        <m:d>
          <m:dPr>
            <m:begChr m:val="{"/>
            <m:endChr m:val=""/>
            <m:ctrlPr>
              <w:rPr>
                <w:rFonts w:ascii="Cambria Math" w:hAnsi="Cambria Math"/>
                <w:i/>
                <w:lang w:eastAsia="zh-TW"/>
              </w:rPr>
            </m:ctrlPr>
          </m:dPr>
          <m:e>
            <m:eqArr>
              <m:eqArrPr>
                <m:ctrlPr>
                  <w:rPr>
                    <w:rFonts w:ascii="Cambria Math" w:hAnsi="Cambria Math"/>
                    <w:i/>
                    <w:lang w:eastAsia="zh-TW"/>
                  </w:rPr>
                </m:ctrlPr>
              </m:eqArrPr>
              <m:e>
                <m:r>
                  <w:rPr>
                    <w:rFonts w:ascii="Cambria Math" w:hAnsi="Cambria Math"/>
                    <w:lang w:eastAsia="zh-TW"/>
                  </w:rPr>
                  <m:t xml:space="preserve"> 2 ms,  &amp; </m:t>
                </m:r>
                <m:r>
                  <m:rPr>
                    <m:nor/>
                  </m:rPr>
                  <w:rPr>
                    <w:rFonts w:ascii="Cambria Math" w:hAnsi="Cambria Math"/>
                    <w:lang w:eastAsia="zh-TW"/>
                  </w:rPr>
                  <m:t>for scenario 4,</m:t>
                </m:r>
              </m:e>
              <m:e>
                <m:r>
                  <w:rPr>
                    <w:rFonts w:ascii="Cambria Math" w:hAnsi="Cambria Math"/>
                    <w:lang w:eastAsia="zh-TW"/>
                  </w:rPr>
                  <m:t xml:space="preserve">3 ms,  &amp; </m:t>
                </m:r>
                <m:r>
                  <m:rPr>
                    <m:nor/>
                  </m:rPr>
                  <w:rPr>
                    <w:rFonts w:ascii="Cambria Math" w:hAnsi="Cambria Math"/>
                    <w:lang w:eastAsia="zh-TW"/>
                  </w:rPr>
                  <m:t>for scenario 1/2/3</m:t>
                </m:r>
              </m:e>
            </m:eqArr>
          </m:e>
        </m:d>
        <m:r>
          <w:rPr>
            <w:rFonts w:ascii="Cambria Math" w:hAnsi="Cambria Math"/>
            <w:lang w:eastAsia="zh-TW"/>
          </w:rPr>
          <m:t xml:space="preserve"> </m:t>
        </m:r>
      </m:oMath>
      <w:r w:rsidR="00BE4F07">
        <w:rPr>
          <w:lang w:eastAsia="zh-TW"/>
        </w:rPr>
        <w:t xml:space="preserve"> </w:t>
      </w:r>
    </w:p>
    <w:p w14:paraId="692C359E" w14:textId="77777777" w:rsidR="001032EB" w:rsidRDefault="001032EB" w:rsidP="0008656C">
      <w:pPr>
        <w:contextualSpacing/>
        <w:rPr>
          <w:lang w:eastAsia="zh-TW"/>
        </w:rPr>
      </w:pPr>
    </w:p>
    <w:p w14:paraId="57D2537D" w14:textId="23B828B6" w:rsidR="005F5A16" w:rsidRDefault="00EE1C71" w:rsidP="005F5A16">
      <w:pPr>
        <w:contextualSpacing/>
      </w:pPr>
      <w:r>
        <w:rPr>
          <w:lang w:eastAsia="zh-TW"/>
        </w:rPr>
        <w:t xml:space="preserve">According to RAN1 conclusion, the delay duration starts from the last OFDM symbol of PDCCH carrying </w:t>
      </w:r>
      <w:r w:rsidRPr="00A37214">
        <w:t xml:space="preserve">the active BWP switch DCI </w:t>
      </w:r>
      <w:r>
        <w:t>un</w:t>
      </w:r>
      <w:r w:rsidRPr="00A37214">
        <w:t>til the beginning of a slot indicated by K0 in the active DL BWP switch DCI or K2 in the active UL BWP switch DCI</w:t>
      </w:r>
      <w:r>
        <w:t xml:space="preserve">. The timeline for BWP switching with 3ms/2ms delay is depicted </w:t>
      </w:r>
      <w:r w:rsidRPr="00EE1C71">
        <w:t xml:space="preserve">in </w:t>
      </w:r>
      <w:r w:rsidRPr="00EE1C71">
        <w:fldChar w:fldCharType="begin"/>
      </w:r>
      <w:r w:rsidRPr="00EE1C71">
        <w:instrText xml:space="preserve"> REF _Ref521423887 \h </w:instrText>
      </w:r>
      <w:r>
        <w:instrText xml:space="preserve"> \* MERGEFORMAT </w:instrText>
      </w:r>
      <w:r w:rsidRPr="00EE1C71">
        <w:fldChar w:fldCharType="separate"/>
      </w:r>
      <w:r w:rsidRPr="00EE1C71">
        <w:t xml:space="preserve">Figure </w:t>
      </w:r>
      <w:r w:rsidRPr="00EE1C71">
        <w:rPr>
          <w:noProof/>
        </w:rPr>
        <w:t>2</w:t>
      </w:r>
      <w:r w:rsidRPr="00EE1C71">
        <w:fldChar w:fldCharType="end"/>
      </w:r>
      <w:r>
        <w:t>.</w:t>
      </w:r>
    </w:p>
    <w:p w14:paraId="200B1B0E" w14:textId="77777777" w:rsidR="00970A06" w:rsidRDefault="00970A06" w:rsidP="005F5A16">
      <w:pPr>
        <w:contextualSpacing/>
      </w:pPr>
    </w:p>
    <w:p w14:paraId="651999FC" w14:textId="54DC874C" w:rsidR="00970A06" w:rsidRDefault="00970A06" w:rsidP="005F5A16">
      <w:pPr>
        <w:contextualSpacing/>
        <w:rPr>
          <w:lang w:eastAsia="zh-TW"/>
        </w:rPr>
      </w:pPr>
      <w:r>
        <w:t xml:space="preserve">Another issue is </w:t>
      </w:r>
      <w:r w:rsidR="007326C7">
        <w:t>on BWP switching delay requirement is</w:t>
      </w:r>
      <w:r>
        <w:t xml:space="preserve"> the AGC adjustment </w:t>
      </w:r>
      <w:r w:rsidR="007326C7">
        <w:t xml:space="preserve">time </w:t>
      </w:r>
      <w:r>
        <w:t xml:space="preserve">after </w:t>
      </w:r>
      <w:r w:rsidR="005513E8">
        <w:t xml:space="preserve">the </w:t>
      </w:r>
      <w:r>
        <w:t>BWP switching. Befor</w:t>
      </w:r>
      <w:r w:rsidR="005513E8">
        <w:t>e starting the operation</w:t>
      </w:r>
      <w:r>
        <w:t xml:space="preserve"> at the new</w:t>
      </w:r>
      <w:r w:rsidR="005513E8">
        <w:t xml:space="preserve"> BWP, UE may need to adjust the AGC </w:t>
      </w:r>
      <w:r w:rsidR="007326C7">
        <w:t xml:space="preserve">accordingly </w:t>
      </w:r>
      <w:r w:rsidR="005513E8">
        <w:t>for</w:t>
      </w:r>
      <w:r w:rsidR="007326C7">
        <w:t xml:space="preserve"> data</w:t>
      </w:r>
      <w:r w:rsidR="005513E8">
        <w:t xml:space="preserve"> communication. If network configures SSB in the slot immediately after BWP switching delay duration, UE can adjust the AGC within one SMTC duration; otherwise, UE can only use the AGC value </w:t>
      </w:r>
      <w:r w:rsidR="007326C7">
        <w:t>associated with</w:t>
      </w:r>
      <w:r w:rsidR="005513E8">
        <w:t xml:space="preserve"> the old BWP </w:t>
      </w:r>
      <w:r w:rsidR="007326C7">
        <w:t xml:space="preserve">for </w:t>
      </w:r>
      <w:bookmarkStart w:id="3" w:name="_GoBack"/>
      <w:bookmarkEnd w:id="3"/>
      <w:r w:rsidR="007326C7">
        <w:t>the slot with the new BWP</w:t>
      </w:r>
      <w:r w:rsidR="005513E8">
        <w:t>.</w:t>
      </w:r>
      <w:r w:rsidR="004B5066">
        <w:t xml:space="preserve"> The BWP switching delay may be further extended if it is required that AGC settlement is completed within the delay duration. It is FFS for RAN4 if AGC adjustment time is included in the BWP switching delay. </w:t>
      </w:r>
      <w:r w:rsidR="005513E8">
        <w:t xml:space="preserve">  </w:t>
      </w:r>
    </w:p>
    <w:p w14:paraId="3AD9CA90" w14:textId="3F43847A" w:rsidR="005F5A16" w:rsidRDefault="005F5A16" w:rsidP="005F5A16">
      <w:pPr>
        <w:contextualSpacing/>
        <w:rPr>
          <w:lang w:eastAsia="zh-TW"/>
        </w:rPr>
      </w:pPr>
      <w:r>
        <w:object w:dxaOrig="15863" w:dyaOrig="6893" w14:anchorId="075F9C23">
          <v:shape id="_x0000_i1026" type="#_x0000_t75" style="width:481.25pt;height:209.4pt" o:ole="">
            <v:imagedata r:id="rId14" o:title=""/>
          </v:shape>
          <o:OLEObject Type="Embed" ProgID="Visio.Drawing.15" ShapeID="_x0000_i1026" DrawAspect="Content" ObjectID="_1595419959" r:id="rId15"/>
        </w:object>
      </w:r>
    </w:p>
    <w:p w14:paraId="7623BBC5" w14:textId="77777777" w:rsidR="00EE1C71" w:rsidRDefault="00EE1C71" w:rsidP="00EE1C71">
      <w:pPr>
        <w:pStyle w:val="Caption"/>
      </w:pPr>
    </w:p>
    <w:p w14:paraId="5B79B5CB" w14:textId="441080AA" w:rsidR="00EE1C71" w:rsidRPr="00EE1C71" w:rsidRDefault="00EE1C71" w:rsidP="00EE1C71">
      <w:pPr>
        <w:pStyle w:val="Caption"/>
        <w:jc w:val="center"/>
        <w:rPr>
          <w:sz w:val="18"/>
          <w:szCs w:val="18"/>
          <w:lang w:eastAsia="zh-TW"/>
        </w:rPr>
      </w:pPr>
      <w:bookmarkStart w:id="4" w:name="_Ref521423887"/>
      <w:r w:rsidRPr="00EE1C71">
        <w:rPr>
          <w:sz w:val="18"/>
          <w:szCs w:val="18"/>
        </w:rPr>
        <w:t xml:space="preserve">Figure </w:t>
      </w:r>
      <w:r w:rsidRPr="00EE1C71">
        <w:rPr>
          <w:sz w:val="18"/>
          <w:szCs w:val="18"/>
        </w:rPr>
        <w:fldChar w:fldCharType="begin"/>
      </w:r>
      <w:r w:rsidRPr="00EE1C71">
        <w:rPr>
          <w:sz w:val="18"/>
          <w:szCs w:val="18"/>
        </w:rPr>
        <w:instrText xml:space="preserve"> SEQ Figure \* ARABIC </w:instrText>
      </w:r>
      <w:r w:rsidRPr="00EE1C71">
        <w:rPr>
          <w:sz w:val="18"/>
          <w:szCs w:val="18"/>
        </w:rPr>
        <w:fldChar w:fldCharType="separate"/>
      </w:r>
      <w:r w:rsidRPr="00EE1C71">
        <w:rPr>
          <w:noProof/>
          <w:sz w:val="18"/>
          <w:szCs w:val="18"/>
        </w:rPr>
        <w:t>2</w:t>
      </w:r>
      <w:r w:rsidRPr="00EE1C71">
        <w:rPr>
          <w:sz w:val="18"/>
          <w:szCs w:val="18"/>
        </w:rPr>
        <w:fldChar w:fldCharType="end"/>
      </w:r>
      <w:bookmarkEnd w:id="4"/>
      <w:r w:rsidRPr="00EE1C71">
        <w:rPr>
          <w:sz w:val="18"/>
          <w:szCs w:val="18"/>
        </w:rPr>
        <w:t>: Timeline for BWP switching with 2ms/3ms delay</w:t>
      </w:r>
    </w:p>
    <w:p w14:paraId="67400143" w14:textId="77777777" w:rsidR="00EE1C71" w:rsidRDefault="00EE1C71" w:rsidP="005F5A16">
      <w:pPr>
        <w:contextualSpacing/>
        <w:rPr>
          <w:lang w:eastAsia="zh-TW"/>
        </w:rPr>
      </w:pPr>
    </w:p>
    <w:p w14:paraId="061D2BA9" w14:textId="5157921D" w:rsidR="00495AD0" w:rsidRPr="00EE1C71" w:rsidRDefault="002F29F3" w:rsidP="00EE1C71">
      <w:pPr>
        <w:pStyle w:val="Header"/>
        <w:snapToGrid w:val="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r w:rsidR="005F5A16" w:rsidRPr="005F5A16">
        <w:rPr>
          <w:rFonts w:ascii="Times New Roman" w:hAnsi="Times New Roman"/>
          <w:noProof w:val="0"/>
          <w:color w:val="000000" w:themeColor="text1"/>
          <w:sz w:val="20"/>
          <w:lang w:eastAsia="zh-CN"/>
        </w:rPr>
        <w:t xml:space="preserve">Depending on UE capability, UE shall finish BWP switch within the </w:t>
      </w:r>
      <w:r w:rsidR="005F5A16">
        <w:rPr>
          <w:rFonts w:ascii="Times New Roman" w:hAnsi="Times New Roman"/>
          <w:noProof w:val="0"/>
          <w:color w:val="000000" w:themeColor="text1"/>
          <w:sz w:val="20"/>
          <w:lang w:eastAsia="zh-CN"/>
        </w:rPr>
        <w:t xml:space="preserve">time duration defined in </w:t>
      </w:r>
      <w:r w:rsidR="005F5A16" w:rsidRPr="005F5A16">
        <w:rPr>
          <w:rFonts w:ascii="Times New Roman" w:hAnsi="Times New Roman"/>
          <w:noProof w:val="0"/>
          <w:color w:val="000000" w:themeColor="text1"/>
          <w:sz w:val="20"/>
          <w:lang w:eastAsia="zh-CN"/>
        </w:rPr>
        <w:fldChar w:fldCharType="begin"/>
      </w:r>
      <w:r w:rsidR="005F5A16" w:rsidRPr="005F5A16">
        <w:rPr>
          <w:rFonts w:ascii="Times New Roman" w:hAnsi="Times New Roman"/>
          <w:noProof w:val="0"/>
          <w:color w:val="000000" w:themeColor="text1"/>
          <w:sz w:val="20"/>
          <w:lang w:eastAsia="zh-CN"/>
        </w:rPr>
        <w:instrText xml:space="preserve"> REF _Ref517698286 \h  \* MERGEFORMAT </w:instrText>
      </w:r>
      <w:r w:rsidR="005F5A16" w:rsidRPr="005F5A16">
        <w:rPr>
          <w:rFonts w:ascii="Times New Roman" w:hAnsi="Times New Roman"/>
          <w:noProof w:val="0"/>
          <w:color w:val="000000" w:themeColor="text1"/>
          <w:sz w:val="20"/>
          <w:lang w:eastAsia="zh-CN"/>
        </w:rPr>
      </w:r>
      <w:r w:rsidR="005F5A16" w:rsidRPr="005F5A16">
        <w:rPr>
          <w:rFonts w:ascii="Times New Roman" w:hAnsi="Times New Roman"/>
          <w:noProof w:val="0"/>
          <w:color w:val="000000" w:themeColor="text1"/>
          <w:sz w:val="20"/>
          <w:lang w:eastAsia="zh-CN"/>
        </w:rPr>
        <w:fldChar w:fldCharType="separate"/>
      </w:r>
      <w:r w:rsidR="005F5A16" w:rsidRPr="005F5A16">
        <w:rPr>
          <w:rFonts w:ascii="Times New Roman" w:hAnsi="Times New Roman"/>
          <w:sz w:val="20"/>
        </w:rPr>
        <w:t>Table 1</w:t>
      </w:r>
      <w:r w:rsidR="005F5A16" w:rsidRPr="005F5A16">
        <w:rPr>
          <w:rFonts w:ascii="Times New Roman" w:hAnsi="Times New Roman"/>
          <w:noProof w:val="0"/>
          <w:color w:val="000000" w:themeColor="text1"/>
          <w:sz w:val="20"/>
          <w:lang w:eastAsia="zh-CN"/>
        </w:rPr>
        <w:fldChar w:fldCharType="end"/>
      </w:r>
      <w:r w:rsidR="005F5A16">
        <w:rPr>
          <w:rFonts w:ascii="Times New Roman" w:hAnsi="Times New Roman"/>
          <w:noProof w:val="0"/>
          <w:color w:val="000000" w:themeColor="text1"/>
          <w:sz w:val="20"/>
          <w:lang w:eastAsia="zh-CN"/>
        </w:rPr>
        <w:t xml:space="preserve"> below</w:t>
      </w:r>
      <w:r w:rsidRPr="0021445F">
        <w:rPr>
          <w:rFonts w:ascii="Times New Roman" w:hAnsi="Times New Roman"/>
          <w:noProof w:val="0"/>
          <w:color w:val="000000" w:themeColor="text1"/>
          <w:sz w:val="20"/>
          <w:lang w:eastAsia="zh-CN"/>
        </w:rPr>
        <w:t xml:space="preserve">, </w:t>
      </w:r>
    </w:p>
    <w:p w14:paraId="22DD1B71" w14:textId="4F2A66E5" w:rsidR="003F284B" w:rsidRPr="00495AD0" w:rsidRDefault="00495AD0" w:rsidP="00495AD0">
      <w:pPr>
        <w:pStyle w:val="Caption"/>
        <w:jc w:val="center"/>
        <w:rPr>
          <w:b w:val="0"/>
          <w:sz w:val="18"/>
          <w:szCs w:val="18"/>
          <w:lang w:eastAsia="zh-CN"/>
        </w:rPr>
      </w:pPr>
      <w:bookmarkStart w:id="5" w:name="_Ref517698286"/>
      <w:bookmarkStart w:id="6" w:name="_Ref521422794"/>
      <w:r w:rsidRPr="00495AD0">
        <w:rPr>
          <w:sz w:val="18"/>
          <w:szCs w:val="18"/>
        </w:rPr>
        <w:t xml:space="preserve">Table </w:t>
      </w:r>
      <w:r w:rsidRPr="00495AD0">
        <w:rPr>
          <w:sz w:val="18"/>
          <w:szCs w:val="18"/>
        </w:rPr>
        <w:fldChar w:fldCharType="begin"/>
      </w:r>
      <w:r w:rsidRPr="00495AD0">
        <w:rPr>
          <w:sz w:val="18"/>
          <w:szCs w:val="18"/>
        </w:rPr>
        <w:instrText xml:space="preserve"> SEQ Table \* ARABIC </w:instrText>
      </w:r>
      <w:r w:rsidRPr="00495AD0">
        <w:rPr>
          <w:sz w:val="18"/>
          <w:szCs w:val="18"/>
        </w:rPr>
        <w:fldChar w:fldCharType="separate"/>
      </w:r>
      <w:r w:rsidRPr="00495AD0">
        <w:rPr>
          <w:noProof/>
          <w:sz w:val="18"/>
          <w:szCs w:val="18"/>
        </w:rPr>
        <w:t>1</w:t>
      </w:r>
      <w:r w:rsidRPr="00495AD0">
        <w:rPr>
          <w:sz w:val="18"/>
          <w:szCs w:val="18"/>
        </w:rPr>
        <w:fldChar w:fldCharType="end"/>
      </w:r>
      <w:bookmarkEnd w:id="5"/>
      <w:r w:rsidRPr="00495AD0">
        <w:rPr>
          <w:sz w:val="18"/>
          <w:szCs w:val="18"/>
        </w:rPr>
        <w:t>: BWP switching delay</w:t>
      </w:r>
      <w:bookmarkEnd w:id="6"/>
    </w:p>
    <w:tbl>
      <w:tblPr>
        <w:tblStyle w:val="GridTable6Colorful"/>
        <w:tblW w:w="92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0"/>
        <w:gridCol w:w="1080"/>
        <w:gridCol w:w="1170"/>
        <w:gridCol w:w="1080"/>
        <w:gridCol w:w="1170"/>
        <w:gridCol w:w="1080"/>
        <w:gridCol w:w="1170"/>
        <w:gridCol w:w="1535"/>
      </w:tblGrid>
      <w:tr w:rsidR="00943676" w:rsidRPr="003F284B" w14:paraId="69E596DB" w14:textId="77777777" w:rsidTr="00970A06">
        <w:trPr>
          <w:cnfStyle w:val="100000000000" w:firstRow="1" w:lastRow="0" w:firstColumn="0" w:lastColumn="0" w:oddVBand="0" w:evenVBand="0" w:oddHBand="0" w:evenHBand="0"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980" w:type="dxa"/>
            <w:tcBorders>
              <w:bottom w:val="none" w:sz="0" w:space="0" w:color="auto"/>
            </w:tcBorders>
            <w:hideMark/>
          </w:tcPr>
          <w:p w14:paraId="20DCB05C" w14:textId="77777777" w:rsidR="000844A0" w:rsidRPr="0021445F" w:rsidRDefault="000844A0" w:rsidP="003F284B">
            <w:pPr>
              <w:snapToGrid w:val="0"/>
              <w:spacing w:before="0" w:after="0"/>
              <w:jc w:val="center"/>
              <w:rPr>
                <w:bCs w:val="0"/>
                <w:sz w:val="18"/>
                <w:szCs w:val="18"/>
                <w:lang w:val="en-US"/>
              </w:rPr>
            </w:pPr>
            <w:r w:rsidRPr="0021445F">
              <w:rPr>
                <w:bCs w:val="0"/>
                <w:sz w:val="18"/>
                <w:szCs w:val="18"/>
                <w:lang w:val="en-US"/>
              </w:rPr>
              <w:t>SCS</w:t>
            </w:r>
          </w:p>
        </w:tc>
        <w:tc>
          <w:tcPr>
            <w:tcW w:w="1080" w:type="dxa"/>
            <w:tcBorders>
              <w:bottom w:val="none" w:sz="0" w:space="0" w:color="auto"/>
            </w:tcBorders>
          </w:tcPr>
          <w:p w14:paraId="40BB426A" w14:textId="1D06EE9B" w:rsidR="000844A0" w:rsidRPr="0021445F" w:rsidRDefault="000844A0"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 xml:space="preserve">Type 1 delay in </w:t>
            </w:r>
            <w:r>
              <w:rPr>
                <w:bCs w:val="0"/>
                <w:sz w:val="18"/>
                <w:szCs w:val="18"/>
                <w:lang w:val="en-US"/>
              </w:rPr>
              <w:t>µs</w:t>
            </w:r>
          </w:p>
        </w:tc>
        <w:tc>
          <w:tcPr>
            <w:tcW w:w="1170" w:type="dxa"/>
            <w:tcBorders>
              <w:bottom w:val="none" w:sz="0" w:space="0" w:color="auto"/>
            </w:tcBorders>
            <w:hideMark/>
          </w:tcPr>
          <w:p w14:paraId="06D4534C" w14:textId="668CC054" w:rsidR="000844A0" w:rsidRPr="0021445F" w:rsidRDefault="000844A0"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Type 1 delay in Slot</w:t>
            </w:r>
          </w:p>
        </w:tc>
        <w:tc>
          <w:tcPr>
            <w:tcW w:w="1080" w:type="dxa"/>
            <w:tcBorders>
              <w:bottom w:val="none" w:sz="0" w:space="0" w:color="auto"/>
            </w:tcBorders>
          </w:tcPr>
          <w:p w14:paraId="5AE76D2E" w14:textId="56B5BA2D" w:rsidR="000844A0" w:rsidRPr="0021445F" w:rsidRDefault="000844A0"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2</w:t>
            </w:r>
            <w:r w:rsidRPr="0021445F">
              <w:rPr>
                <w:bCs w:val="0"/>
                <w:sz w:val="18"/>
                <w:szCs w:val="18"/>
                <w:lang w:val="en-US"/>
              </w:rPr>
              <w:t xml:space="preserve"> delay in </w:t>
            </w:r>
            <w:r>
              <w:rPr>
                <w:bCs w:val="0"/>
                <w:sz w:val="18"/>
                <w:szCs w:val="18"/>
                <w:lang w:val="en-US"/>
              </w:rPr>
              <w:t>µs</w:t>
            </w:r>
          </w:p>
        </w:tc>
        <w:tc>
          <w:tcPr>
            <w:tcW w:w="1170" w:type="dxa"/>
            <w:tcBorders>
              <w:bottom w:val="none" w:sz="0" w:space="0" w:color="auto"/>
            </w:tcBorders>
            <w:hideMark/>
          </w:tcPr>
          <w:p w14:paraId="512ED004" w14:textId="6DC5DE20" w:rsidR="000844A0" w:rsidRPr="0021445F" w:rsidRDefault="000844A0"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Type 2 delay in Slot</w:t>
            </w:r>
          </w:p>
        </w:tc>
        <w:tc>
          <w:tcPr>
            <w:tcW w:w="1080" w:type="dxa"/>
            <w:tcBorders>
              <w:bottom w:val="none" w:sz="0" w:space="0" w:color="auto"/>
            </w:tcBorders>
          </w:tcPr>
          <w:p w14:paraId="4B35D140" w14:textId="38AB8FCA" w:rsidR="000844A0" w:rsidRPr="0021445F" w:rsidRDefault="00857569"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3</w:t>
            </w:r>
            <w:r w:rsidRPr="0021445F">
              <w:rPr>
                <w:bCs w:val="0"/>
                <w:sz w:val="18"/>
                <w:szCs w:val="18"/>
                <w:lang w:val="en-US"/>
              </w:rPr>
              <w:t xml:space="preserve"> delay in </w:t>
            </w:r>
            <w:r>
              <w:rPr>
                <w:bCs w:val="0"/>
                <w:sz w:val="18"/>
                <w:szCs w:val="18"/>
                <w:lang w:val="en-US"/>
              </w:rPr>
              <w:t>µs</w:t>
            </w:r>
          </w:p>
        </w:tc>
        <w:tc>
          <w:tcPr>
            <w:tcW w:w="1170" w:type="dxa"/>
            <w:tcBorders>
              <w:bottom w:val="none" w:sz="0" w:space="0" w:color="auto"/>
            </w:tcBorders>
          </w:tcPr>
          <w:p w14:paraId="4A53B7A6" w14:textId="1D524806" w:rsidR="000844A0" w:rsidRPr="0021445F" w:rsidRDefault="00857569"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3 delay in Slot</w:t>
            </w:r>
          </w:p>
        </w:tc>
        <w:tc>
          <w:tcPr>
            <w:tcW w:w="1535" w:type="dxa"/>
            <w:tcBorders>
              <w:bottom w:val="none" w:sz="0" w:space="0" w:color="auto"/>
            </w:tcBorders>
            <w:hideMark/>
          </w:tcPr>
          <w:p w14:paraId="0BEEF97B" w14:textId="658C16CE" w:rsidR="000844A0" w:rsidRPr="0021445F" w:rsidRDefault="000844A0" w:rsidP="003F284B">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Comment</w:t>
            </w:r>
          </w:p>
        </w:tc>
      </w:tr>
      <w:tr w:rsidR="00943676" w:rsidRPr="003F284B" w14:paraId="61C6D604"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27D95216" w14:textId="77777777" w:rsidR="000844A0" w:rsidRPr="0021445F" w:rsidRDefault="000844A0" w:rsidP="00190EDF">
            <w:pPr>
              <w:snapToGrid w:val="0"/>
              <w:spacing w:before="0" w:after="0"/>
              <w:jc w:val="center"/>
              <w:rPr>
                <w:bCs w:val="0"/>
                <w:sz w:val="18"/>
                <w:szCs w:val="18"/>
                <w:lang w:val="en-US"/>
              </w:rPr>
            </w:pPr>
            <w:r w:rsidRPr="0021445F">
              <w:rPr>
                <w:bCs w:val="0"/>
                <w:sz w:val="18"/>
                <w:szCs w:val="18"/>
                <w:lang w:val="en-US"/>
              </w:rPr>
              <w:t>15kHz</w:t>
            </w:r>
          </w:p>
        </w:tc>
        <w:tc>
          <w:tcPr>
            <w:tcW w:w="1080" w:type="dxa"/>
          </w:tcPr>
          <w:p w14:paraId="06AF62FA" w14:textId="2B468CAE" w:rsidR="000844A0" w:rsidRPr="0021445F" w:rsidRDefault="000844A0"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3B5AF697" w14:textId="6AEFA590" w:rsidR="000844A0" w:rsidRPr="0021445F" w:rsidRDefault="000844A0"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70B7AAF9" w14:textId="0AB9B5E7" w:rsidR="000844A0" w:rsidRDefault="000844A0"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0844A0">
              <w:rPr>
                <w:bCs/>
                <w:sz w:val="18"/>
                <w:szCs w:val="18"/>
                <w:lang w:val="en-US"/>
              </w:rPr>
              <w:t>2000</w:t>
            </w:r>
          </w:p>
        </w:tc>
        <w:tc>
          <w:tcPr>
            <w:tcW w:w="1170" w:type="dxa"/>
            <w:hideMark/>
          </w:tcPr>
          <w:p w14:paraId="560A1AA1" w14:textId="0B870272" w:rsidR="000844A0" w:rsidRPr="00B67838" w:rsidRDefault="00857569"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w:t>
            </w:r>
          </w:p>
        </w:tc>
        <w:tc>
          <w:tcPr>
            <w:tcW w:w="1080" w:type="dxa"/>
          </w:tcPr>
          <w:p w14:paraId="7CEAA83D" w14:textId="5DCBD3CD" w:rsidR="000844A0" w:rsidRPr="0021445F" w:rsidRDefault="00857569"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45131449" w14:textId="1902C524" w:rsidR="000844A0" w:rsidRPr="0021445F" w:rsidRDefault="00C9265E"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w:t>
            </w:r>
          </w:p>
        </w:tc>
        <w:tc>
          <w:tcPr>
            <w:tcW w:w="1535" w:type="dxa"/>
            <w:hideMark/>
          </w:tcPr>
          <w:p w14:paraId="5CAC8713" w14:textId="08B93AD8" w:rsidR="000844A0" w:rsidRPr="0021445F" w:rsidRDefault="000844A0" w:rsidP="00190EDF">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053DB8" w:rsidRPr="003F284B" w14:paraId="6EE8A4F7"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240D49CC" w14:textId="77777777" w:rsidR="000844A0" w:rsidRPr="0021445F" w:rsidRDefault="000844A0" w:rsidP="00190EDF">
            <w:pPr>
              <w:snapToGrid w:val="0"/>
              <w:spacing w:before="0" w:after="0"/>
              <w:jc w:val="center"/>
              <w:rPr>
                <w:bCs w:val="0"/>
                <w:sz w:val="18"/>
                <w:szCs w:val="18"/>
                <w:lang w:val="en-US"/>
              </w:rPr>
            </w:pPr>
          </w:p>
        </w:tc>
        <w:tc>
          <w:tcPr>
            <w:tcW w:w="1080" w:type="dxa"/>
          </w:tcPr>
          <w:p w14:paraId="47EBE5A9" w14:textId="004AA5DA" w:rsidR="000844A0" w:rsidRPr="0021445F" w:rsidRDefault="000844A0"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7B7AE201" w14:textId="1174C666" w:rsidR="000844A0" w:rsidRPr="0021445F" w:rsidRDefault="000844A0"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62ECB02D" w14:textId="547577EC" w:rsidR="000844A0" w:rsidRPr="00B67838" w:rsidRDefault="000844A0"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2C41D3AB" w14:textId="15D83146" w:rsidR="000844A0" w:rsidRPr="00B67838" w:rsidRDefault="00857569"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w:t>
            </w:r>
          </w:p>
        </w:tc>
        <w:tc>
          <w:tcPr>
            <w:tcW w:w="1080" w:type="dxa"/>
          </w:tcPr>
          <w:p w14:paraId="67CEE5FE" w14:textId="4B440E5A" w:rsidR="000844A0" w:rsidRPr="0021445F" w:rsidRDefault="00C9265E"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20</w:t>
            </w:r>
            <w:r w:rsidR="00857569">
              <w:rPr>
                <w:bCs/>
                <w:sz w:val="18"/>
                <w:szCs w:val="18"/>
                <w:lang w:val="en-US"/>
              </w:rPr>
              <w:t>00</w:t>
            </w:r>
          </w:p>
        </w:tc>
        <w:tc>
          <w:tcPr>
            <w:tcW w:w="1170" w:type="dxa"/>
          </w:tcPr>
          <w:p w14:paraId="3776FCBC" w14:textId="6A9168A6" w:rsidR="000844A0" w:rsidRPr="0021445F" w:rsidRDefault="005F5A16"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w:t>
            </w:r>
          </w:p>
        </w:tc>
        <w:tc>
          <w:tcPr>
            <w:tcW w:w="1535" w:type="dxa"/>
            <w:hideMark/>
          </w:tcPr>
          <w:p w14:paraId="746201B6" w14:textId="07FE079E" w:rsidR="000844A0" w:rsidRPr="0021445F" w:rsidRDefault="000844A0" w:rsidP="00190EDF">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943676" w:rsidRPr="003F284B" w14:paraId="45E097DF"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6E0D8FB0" w14:textId="77777777" w:rsidR="00857569" w:rsidRPr="0021445F" w:rsidRDefault="00857569" w:rsidP="00857569">
            <w:pPr>
              <w:snapToGrid w:val="0"/>
              <w:spacing w:before="0" w:after="0"/>
              <w:jc w:val="center"/>
              <w:rPr>
                <w:bCs w:val="0"/>
                <w:sz w:val="18"/>
                <w:szCs w:val="18"/>
                <w:lang w:val="en-US"/>
              </w:rPr>
            </w:pPr>
            <w:r w:rsidRPr="0021445F">
              <w:rPr>
                <w:bCs w:val="0"/>
                <w:sz w:val="18"/>
                <w:szCs w:val="18"/>
                <w:lang w:val="en-US"/>
              </w:rPr>
              <w:t>30kHz</w:t>
            </w:r>
          </w:p>
        </w:tc>
        <w:tc>
          <w:tcPr>
            <w:tcW w:w="1080" w:type="dxa"/>
          </w:tcPr>
          <w:p w14:paraId="1DCD36C4" w14:textId="7FAB849E"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6BBEAA7F" w14:textId="3FD65D7C"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2</w:t>
            </w:r>
          </w:p>
        </w:tc>
        <w:tc>
          <w:tcPr>
            <w:tcW w:w="1080" w:type="dxa"/>
          </w:tcPr>
          <w:p w14:paraId="13B3892C" w14:textId="76129095" w:rsidR="00857569"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6764B152" w14:textId="36F21015" w:rsidR="00857569" w:rsidRPr="00B67838"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4</w:t>
            </w:r>
          </w:p>
        </w:tc>
        <w:tc>
          <w:tcPr>
            <w:tcW w:w="1080" w:type="dxa"/>
          </w:tcPr>
          <w:p w14:paraId="2A5E3036" w14:textId="709780EC"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765B3125" w14:textId="67689F97" w:rsidR="00857569" w:rsidRPr="0021445F" w:rsidRDefault="005F5A16"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w:t>
            </w:r>
          </w:p>
        </w:tc>
        <w:tc>
          <w:tcPr>
            <w:tcW w:w="1535" w:type="dxa"/>
            <w:hideMark/>
          </w:tcPr>
          <w:p w14:paraId="1CF38922" w14:textId="6ACA84F2"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D567B8" w:rsidRPr="003F284B" w14:paraId="4FCEF991"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542F1A88" w14:textId="77777777" w:rsidR="00857569" w:rsidRPr="0021445F" w:rsidRDefault="00857569" w:rsidP="00857569">
            <w:pPr>
              <w:snapToGrid w:val="0"/>
              <w:spacing w:before="0" w:after="0"/>
              <w:jc w:val="center"/>
              <w:rPr>
                <w:bCs w:val="0"/>
                <w:sz w:val="18"/>
                <w:szCs w:val="18"/>
                <w:lang w:val="en-US"/>
              </w:rPr>
            </w:pPr>
          </w:p>
        </w:tc>
        <w:tc>
          <w:tcPr>
            <w:tcW w:w="1080" w:type="dxa"/>
          </w:tcPr>
          <w:p w14:paraId="6974D0BE" w14:textId="78E50707"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297722CD" w14:textId="64BAB313"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0B891795" w14:textId="7F5FC174"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52424A7A" w14:textId="2952B09D"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w:t>
            </w:r>
          </w:p>
        </w:tc>
        <w:tc>
          <w:tcPr>
            <w:tcW w:w="1080" w:type="dxa"/>
          </w:tcPr>
          <w:p w14:paraId="2A84BB72" w14:textId="23F10451" w:rsidR="00857569" w:rsidRPr="0021445F" w:rsidRDefault="00C9265E"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20</w:t>
            </w:r>
            <w:r w:rsidR="00857569">
              <w:rPr>
                <w:bCs/>
                <w:sz w:val="18"/>
                <w:szCs w:val="18"/>
                <w:lang w:val="en-US"/>
              </w:rPr>
              <w:t>00</w:t>
            </w:r>
          </w:p>
        </w:tc>
        <w:tc>
          <w:tcPr>
            <w:tcW w:w="1170" w:type="dxa"/>
          </w:tcPr>
          <w:p w14:paraId="00B50A6B" w14:textId="1D7D6359" w:rsidR="00857569" w:rsidRPr="0021445F" w:rsidRDefault="00EE1C71"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w:t>
            </w:r>
          </w:p>
        </w:tc>
        <w:tc>
          <w:tcPr>
            <w:tcW w:w="1535" w:type="dxa"/>
            <w:hideMark/>
          </w:tcPr>
          <w:p w14:paraId="542FFB77" w14:textId="237954C0"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943676" w:rsidRPr="003F284B" w14:paraId="42EBB99B"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52491ABF" w14:textId="77777777" w:rsidR="00857569" w:rsidRPr="0021445F" w:rsidRDefault="00857569" w:rsidP="00857569">
            <w:pPr>
              <w:snapToGrid w:val="0"/>
              <w:spacing w:before="0" w:after="0"/>
              <w:jc w:val="center"/>
              <w:rPr>
                <w:bCs w:val="0"/>
                <w:sz w:val="18"/>
                <w:szCs w:val="18"/>
                <w:lang w:val="en-US"/>
              </w:rPr>
            </w:pPr>
            <w:r w:rsidRPr="0021445F">
              <w:rPr>
                <w:bCs w:val="0"/>
                <w:sz w:val="18"/>
                <w:szCs w:val="18"/>
                <w:lang w:val="en-US"/>
              </w:rPr>
              <w:t>60kHz</w:t>
            </w:r>
          </w:p>
        </w:tc>
        <w:tc>
          <w:tcPr>
            <w:tcW w:w="1080" w:type="dxa"/>
          </w:tcPr>
          <w:p w14:paraId="58CEA57C" w14:textId="720B98E8"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1DF29C5F" w14:textId="4178F7FE"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3</w:t>
            </w:r>
          </w:p>
        </w:tc>
        <w:tc>
          <w:tcPr>
            <w:tcW w:w="1080" w:type="dxa"/>
          </w:tcPr>
          <w:p w14:paraId="18FE350B" w14:textId="644E52E5" w:rsidR="00857569"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77CAAE54" w14:textId="419497CC" w:rsidR="00857569" w:rsidRPr="00B67838"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8</w:t>
            </w:r>
          </w:p>
        </w:tc>
        <w:tc>
          <w:tcPr>
            <w:tcW w:w="1080" w:type="dxa"/>
          </w:tcPr>
          <w:p w14:paraId="490A1410" w14:textId="2CF4E24C"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6391FE2B" w14:textId="4BAB9BF4" w:rsidR="00857569" w:rsidRPr="0021445F" w:rsidRDefault="005F5A16"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12</w:t>
            </w:r>
          </w:p>
        </w:tc>
        <w:tc>
          <w:tcPr>
            <w:tcW w:w="1535" w:type="dxa"/>
            <w:hideMark/>
          </w:tcPr>
          <w:p w14:paraId="358ED0C4" w14:textId="3C5D54FB"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D567B8" w:rsidRPr="003F284B" w14:paraId="02D34A4D"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683C574F" w14:textId="77777777" w:rsidR="00857569" w:rsidRPr="0021445F" w:rsidRDefault="00857569" w:rsidP="00857569">
            <w:pPr>
              <w:snapToGrid w:val="0"/>
              <w:spacing w:before="0" w:after="0"/>
              <w:jc w:val="center"/>
              <w:rPr>
                <w:bCs w:val="0"/>
                <w:sz w:val="18"/>
                <w:szCs w:val="18"/>
                <w:lang w:val="en-US"/>
              </w:rPr>
            </w:pPr>
          </w:p>
        </w:tc>
        <w:tc>
          <w:tcPr>
            <w:tcW w:w="1080" w:type="dxa"/>
          </w:tcPr>
          <w:p w14:paraId="08FDAB1A" w14:textId="054B8431"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6A81370B" w14:textId="0AAF7A90"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2</w:t>
            </w:r>
          </w:p>
        </w:tc>
        <w:tc>
          <w:tcPr>
            <w:tcW w:w="1080" w:type="dxa"/>
          </w:tcPr>
          <w:p w14:paraId="67C84B30" w14:textId="7C904572"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277F1134" w14:textId="384A6301"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w:t>
            </w:r>
          </w:p>
        </w:tc>
        <w:tc>
          <w:tcPr>
            <w:tcW w:w="1080" w:type="dxa"/>
          </w:tcPr>
          <w:p w14:paraId="6BE7CA9C" w14:textId="499A4743"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1500</w:t>
            </w:r>
          </w:p>
        </w:tc>
        <w:tc>
          <w:tcPr>
            <w:tcW w:w="1170" w:type="dxa"/>
          </w:tcPr>
          <w:p w14:paraId="4A853E35" w14:textId="6E591868" w:rsidR="00857569" w:rsidRPr="0021445F" w:rsidRDefault="00EE1C71"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8</w:t>
            </w:r>
          </w:p>
        </w:tc>
        <w:tc>
          <w:tcPr>
            <w:tcW w:w="1535" w:type="dxa"/>
            <w:hideMark/>
          </w:tcPr>
          <w:p w14:paraId="50C3CE6F" w14:textId="72D0ACE2"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943676" w:rsidRPr="003F284B" w14:paraId="4E0261C7"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7ED61481" w14:textId="77777777" w:rsidR="00857569" w:rsidRPr="0021445F" w:rsidRDefault="00857569" w:rsidP="00857569">
            <w:pPr>
              <w:snapToGrid w:val="0"/>
              <w:spacing w:before="0" w:after="0"/>
              <w:jc w:val="center"/>
              <w:rPr>
                <w:bCs w:val="0"/>
                <w:sz w:val="18"/>
                <w:szCs w:val="18"/>
                <w:lang w:val="en-US"/>
              </w:rPr>
            </w:pPr>
            <w:r w:rsidRPr="0021445F">
              <w:rPr>
                <w:bCs w:val="0"/>
                <w:sz w:val="18"/>
                <w:szCs w:val="18"/>
                <w:lang w:val="en-US"/>
              </w:rPr>
              <w:t>120kHz</w:t>
            </w:r>
          </w:p>
        </w:tc>
        <w:tc>
          <w:tcPr>
            <w:tcW w:w="1080" w:type="dxa"/>
          </w:tcPr>
          <w:p w14:paraId="50BBFB38" w14:textId="41F5F1B2"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52CFD835" w14:textId="0699AE2F"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6</w:t>
            </w:r>
          </w:p>
        </w:tc>
        <w:tc>
          <w:tcPr>
            <w:tcW w:w="1080" w:type="dxa"/>
          </w:tcPr>
          <w:p w14:paraId="3F242F1E" w14:textId="5686007C" w:rsidR="00857569"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28AAB2E8" w14:textId="2FBDFFC4" w:rsidR="00857569" w:rsidRPr="00B67838"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16</w:t>
            </w:r>
          </w:p>
        </w:tc>
        <w:tc>
          <w:tcPr>
            <w:tcW w:w="1080" w:type="dxa"/>
          </w:tcPr>
          <w:p w14:paraId="69C83F85" w14:textId="6658EAAD"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2940ED1E" w14:textId="150E11EC" w:rsidR="00857569" w:rsidRPr="0021445F" w:rsidRDefault="005F5A16"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24</w:t>
            </w:r>
          </w:p>
        </w:tc>
        <w:tc>
          <w:tcPr>
            <w:tcW w:w="1535" w:type="dxa"/>
            <w:hideMark/>
          </w:tcPr>
          <w:p w14:paraId="379E4679" w14:textId="74B04481" w:rsidR="00857569" w:rsidRPr="0021445F" w:rsidRDefault="00857569" w:rsidP="00857569">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D567B8" w:rsidRPr="003F284B" w14:paraId="313B885F"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4C6DF69E" w14:textId="77777777" w:rsidR="00857569" w:rsidRPr="0021445F" w:rsidRDefault="00857569" w:rsidP="00857569">
            <w:pPr>
              <w:snapToGrid w:val="0"/>
              <w:spacing w:before="0" w:after="0"/>
              <w:jc w:val="center"/>
              <w:rPr>
                <w:bCs w:val="0"/>
                <w:sz w:val="18"/>
                <w:szCs w:val="18"/>
                <w:lang w:val="en-US"/>
              </w:rPr>
            </w:pPr>
          </w:p>
        </w:tc>
        <w:tc>
          <w:tcPr>
            <w:tcW w:w="1080" w:type="dxa"/>
          </w:tcPr>
          <w:p w14:paraId="09A178DB" w14:textId="3D1B0DF7"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211F26E4" w14:textId="56A16B62"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4</w:t>
            </w:r>
          </w:p>
        </w:tc>
        <w:tc>
          <w:tcPr>
            <w:tcW w:w="1080" w:type="dxa"/>
          </w:tcPr>
          <w:p w14:paraId="5B99E640" w14:textId="687553A6"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4D33BFE0" w14:textId="4EBA9F12" w:rsidR="00857569" w:rsidRPr="00B67838"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8</w:t>
            </w:r>
          </w:p>
        </w:tc>
        <w:tc>
          <w:tcPr>
            <w:tcW w:w="1080" w:type="dxa"/>
          </w:tcPr>
          <w:p w14:paraId="3DAF1DEE" w14:textId="7C2FE11C"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1500</w:t>
            </w:r>
          </w:p>
        </w:tc>
        <w:tc>
          <w:tcPr>
            <w:tcW w:w="1170" w:type="dxa"/>
          </w:tcPr>
          <w:p w14:paraId="29B2AEBF" w14:textId="05644E0A" w:rsidR="00857569" w:rsidRPr="0021445F" w:rsidRDefault="00EE1C71"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16</w:t>
            </w:r>
          </w:p>
        </w:tc>
        <w:tc>
          <w:tcPr>
            <w:tcW w:w="1535" w:type="dxa"/>
            <w:hideMark/>
          </w:tcPr>
          <w:p w14:paraId="5554CCA4" w14:textId="3AD5733D" w:rsidR="00857569" w:rsidRPr="0021445F" w:rsidRDefault="00857569" w:rsidP="00857569">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bl>
    <w:p w14:paraId="720A6E17" w14:textId="77F2F5AF" w:rsidR="00A8282D" w:rsidRPr="009258F1" w:rsidRDefault="00A8282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575837C5" w:rsidR="009F05AF" w:rsidRDefault="009F05AF" w:rsidP="00567C52">
      <w:pPr>
        <w:spacing w:before="0" w:after="180"/>
        <w:contextualSpacing/>
        <w:rPr>
          <w:lang w:val="en-US" w:eastAsia="zh-CN"/>
        </w:rPr>
      </w:pPr>
      <w:r>
        <w:rPr>
          <w:lang w:val="en-US" w:eastAsia="zh-CN"/>
        </w:rPr>
        <w:t xml:space="preserve">In this contribution, BWP switching delay </w:t>
      </w:r>
      <w:r w:rsidR="008073D7">
        <w:rPr>
          <w:lang w:val="en-US" w:eastAsia="zh-CN"/>
        </w:rPr>
        <w:t xml:space="preserve">is further discussed </w:t>
      </w:r>
      <w:r>
        <w:rPr>
          <w:lang w:val="en-US" w:eastAsia="zh-CN"/>
        </w:rPr>
        <w:t xml:space="preserve">and </w:t>
      </w:r>
      <w:r w:rsidR="008073D7">
        <w:rPr>
          <w:lang w:val="en-US" w:eastAsia="zh-CN"/>
        </w:rPr>
        <w:t>Type 3 delay requirement is introduced</w:t>
      </w:r>
      <w:r>
        <w:rPr>
          <w:lang w:val="en-US" w:eastAsia="zh-CN"/>
        </w:rPr>
        <w:t>.</w:t>
      </w:r>
      <w:r w:rsidR="00EC3755">
        <w:rPr>
          <w:lang w:val="en-US" w:eastAsia="zh-CN"/>
        </w:rPr>
        <w:t xml:space="preserve"> The proposals are listed as follows,</w:t>
      </w:r>
    </w:p>
    <w:p w14:paraId="665A6A94" w14:textId="77777777" w:rsidR="008073D7" w:rsidRPr="00EE1C71" w:rsidRDefault="008073D7" w:rsidP="008073D7">
      <w:pPr>
        <w:pStyle w:val="Header"/>
        <w:snapToGrid w:val="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r w:rsidRPr="005F5A16">
        <w:rPr>
          <w:rFonts w:ascii="Times New Roman" w:hAnsi="Times New Roman"/>
          <w:noProof w:val="0"/>
          <w:color w:val="000000" w:themeColor="text1"/>
          <w:sz w:val="20"/>
          <w:lang w:eastAsia="zh-CN"/>
        </w:rPr>
        <w:t xml:space="preserve">Depending on UE capability, UE shall finish BWP switch within the </w:t>
      </w:r>
      <w:r>
        <w:rPr>
          <w:rFonts w:ascii="Times New Roman" w:hAnsi="Times New Roman"/>
          <w:noProof w:val="0"/>
          <w:color w:val="000000" w:themeColor="text1"/>
          <w:sz w:val="20"/>
          <w:lang w:eastAsia="zh-CN"/>
        </w:rPr>
        <w:t xml:space="preserve">time duration defined in </w:t>
      </w:r>
      <w:r w:rsidRPr="005F5A16">
        <w:rPr>
          <w:rFonts w:ascii="Times New Roman" w:hAnsi="Times New Roman"/>
          <w:noProof w:val="0"/>
          <w:color w:val="000000" w:themeColor="text1"/>
          <w:sz w:val="20"/>
          <w:lang w:eastAsia="zh-CN"/>
        </w:rPr>
        <w:fldChar w:fldCharType="begin"/>
      </w:r>
      <w:r w:rsidRPr="005F5A16">
        <w:rPr>
          <w:rFonts w:ascii="Times New Roman" w:hAnsi="Times New Roman"/>
          <w:noProof w:val="0"/>
          <w:color w:val="000000" w:themeColor="text1"/>
          <w:sz w:val="20"/>
          <w:lang w:eastAsia="zh-CN"/>
        </w:rPr>
        <w:instrText xml:space="preserve"> REF _Ref517698286 \h  \* MERGEFORMAT </w:instrText>
      </w:r>
      <w:r w:rsidRPr="005F5A16">
        <w:rPr>
          <w:rFonts w:ascii="Times New Roman" w:hAnsi="Times New Roman"/>
          <w:noProof w:val="0"/>
          <w:color w:val="000000" w:themeColor="text1"/>
          <w:sz w:val="20"/>
          <w:lang w:eastAsia="zh-CN"/>
        </w:rPr>
      </w:r>
      <w:r w:rsidRPr="005F5A16">
        <w:rPr>
          <w:rFonts w:ascii="Times New Roman" w:hAnsi="Times New Roman"/>
          <w:noProof w:val="0"/>
          <w:color w:val="000000" w:themeColor="text1"/>
          <w:sz w:val="20"/>
          <w:lang w:eastAsia="zh-CN"/>
        </w:rPr>
        <w:fldChar w:fldCharType="separate"/>
      </w:r>
      <w:r w:rsidRPr="005F5A16">
        <w:rPr>
          <w:rFonts w:ascii="Times New Roman" w:hAnsi="Times New Roman"/>
          <w:sz w:val="20"/>
        </w:rPr>
        <w:t>Table 1</w:t>
      </w:r>
      <w:r w:rsidRPr="005F5A16">
        <w:rPr>
          <w:rFonts w:ascii="Times New Roman" w:hAnsi="Times New Roman"/>
          <w:noProof w:val="0"/>
          <w:color w:val="000000" w:themeColor="text1"/>
          <w:sz w:val="20"/>
          <w:lang w:eastAsia="zh-CN"/>
        </w:rPr>
        <w:fldChar w:fldCharType="end"/>
      </w:r>
      <w:r>
        <w:rPr>
          <w:rFonts w:ascii="Times New Roman" w:hAnsi="Times New Roman"/>
          <w:noProof w:val="0"/>
          <w:color w:val="000000" w:themeColor="text1"/>
          <w:sz w:val="20"/>
          <w:lang w:eastAsia="zh-CN"/>
        </w:rPr>
        <w:t xml:space="preserve"> below</w:t>
      </w:r>
      <w:r w:rsidRPr="0021445F">
        <w:rPr>
          <w:rFonts w:ascii="Times New Roman" w:hAnsi="Times New Roman"/>
          <w:noProof w:val="0"/>
          <w:color w:val="000000" w:themeColor="text1"/>
          <w:sz w:val="20"/>
          <w:lang w:eastAsia="zh-CN"/>
        </w:rPr>
        <w:t xml:space="preserve">, </w:t>
      </w:r>
    </w:p>
    <w:p w14:paraId="35B7AAE0" w14:textId="77777777" w:rsidR="008073D7" w:rsidRPr="00495AD0" w:rsidRDefault="008073D7" w:rsidP="008073D7">
      <w:pPr>
        <w:pStyle w:val="Caption"/>
        <w:jc w:val="center"/>
        <w:rPr>
          <w:b w:val="0"/>
          <w:sz w:val="18"/>
          <w:szCs w:val="18"/>
          <w:lang w:eastAsia="zh-CN"/>
        </w:rPr>
      </w:pPr>
      <w:r w:rsidRPr="00495AD0">
        <w:rPr>
          <w:sz w:val="18"/>
          <w:szCs w:val="18"/>
        </w:rPr>
        <w:t xml:space="preserve">Table </w:t>
      </w:r>
      <w:r w:rsidRPr="00495AD0">
        <w:rPr>
          <w:sz w:val="18"/>
          <w:szCs w:val="18"/>
        </w:rPr>
        <w:fldChar w:fldCharType="begin"/>
      </w:r>
      <w:r w:rsidRPr="00495AD0">
        <w:rPr>
          <w:sz w:val="18"/>
          <w:szCs w:val="18"/>
        </w:rPr>
        <w:instrText xml:space="preserve"> SEQ Table \* ARABIC </w:instrText>
      </w:r>
      <w:r w:rsidRPr="00495AD0">
        <w:rPr>
          <w:sz w:val="18"/>
          <w:szCs w:val="18"/>
        </w:rPr>
        <w:fldChar w:fldCharType="separate"/>
      </w:r>
      <w:r w:rsidRPr="00495AD0">
        <w:rPr>
          <w:noProof/>
          <w:sz w:val="18"/>
          <w:szCs w:val="18"/>
        </w:rPr>
        <w:t>1</w:t>
      </w:r>
      <w:r w:rsidRPr="00495AD0">
        <w:rPr>
          <w:sz w:val="18"/>
          <w:szCs w:val="18"/>
        </w:rPr>
        <w:fldChar w:fldCharType="end"/>
      </w:r>
      <w:r w:rsidRPr="00495AD0">
        <w:rPr>
          <w:sz w:val="18"/>
          <w:szCs w:val="18"/>
        </w:rPr>
        <w:t>: BWP switching delay</w:t>
      </w:r>
    </w:p>
    <w:tbl>
      <w:tblPr>
        <w:tblStyle w:val="GridTable6Colorful"/>
        <w:tblW w:w="92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0"/>
        <w:gridCol w:w="1080"/>
        <w:gridCol w:w="1170"/>
        <w:gridCol w:w="1080"/>
        <w:gridCol w:w="1170"/>
        <w:gridCol w:w="1080"/>
        <w:gridCol w:w="1170"/>
        <w:gridCol w:w="1535"/>
      </w:tblGrid>
      <w:tr w:rsidR="008073D7" w:rsidRPr="003F284B" w14:paraId="34903071" w14:textId="77777777" w:rsidTr="00970A06">
        <w:trPr>
          <w:cnfStyle w:val="100000000000" w:firstRow="1" w:lastRow="0" w:firstColumn="0" w:lastColumn="0" w:oddVBand="0" w:evenVBand="0" w:oddHBand="0" w:evenHBand="0"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980" w:type="dxa"/>
            <w:tcBorders>
              <w:bottom w:val="none" w:sz="0" w:space="0" w:color="auto"/>
            </w:tcBorders>
            <w:hideMark/>
          </w:tcPr>
          <w:p w14:paraId="6223178F" w14:textId="77777777" w:rsidR="008073D7" w:rsidRPr="0021445F" w:rsidRDefault="008073D7" w:rsidP="00E335B2">
            <w:pPr>
              <w:snapToGrid w:val="0"/>
              <w:spacing w:before="0" w:after="0"/>
              <w:jc w:val="center"/>
              <w:rPr>
                <w:bCs w:val="0"/>
                <w:sz w:val="18"/>
                <w:szCs w:val="18"/>
                <w:lang w:val="en-US"/>
              </w:rPr>
            </w:pPr>
            <w:r w:rsidRPr="0021445F">
              <w:rPr>
                <w:bCs w:val="0"/>
                <w:sz w:val="18"/>
                <w:szCs w:val="18"/>
                <w:lang w:val="en-US"/>
              </w:rPr>
              <w:t>SCS</w:t>
            </w:r>
          </w:p>
        </w:tc>
        <w:tc>
          <w:tcPr>
            <w:tcW w:w="1080" w:type="dxa"/>
            <w:tcBorders>
              <w:bottom w:val="none" w:sz="0" w:space="0" w:color="auto"/>
            </w:tcBorders>
          </w:tcPr>
          <w:p w14:paraId="774BAE06"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 xml:space="preserve">Type 1 delay in </w:t>
            </w:r>
            <w:r>
              <w:rPr>
                <w:bCs w:val="0"/>
                <w:sz w:val="18"/>
                <w:szCs w:val="18"/>
                <w:lang w:val="en-US"/>
              </w:rPr>
              <w:t>µs</w:t>
            </w:r>
          </w:p>
        </w:tc>
        <w:tc>
          <w:tcPr>
            <w:tcW w:w="1170" w:type="dxa"/>
            <w:tcBorders>
              <w:bottom w:val="none" w:sz="0" w:space="0" w:color="auto"/>
            </w:tcBorders>
            <w:hideMark/>
          </w:tcPr>
          <w:p w14:paraId="2D601DA8"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Type 1 delay in Slot</w:t>
            </w:r>
          </w:p>
        </w:tc>
        <w:tc>
          <w:tcPr>
            <w:tcW w:w="1080" w:type="dxa"/>
            <w:tcBorders>
              <w:bottom w:val="none" w:sz="0" w:space="0" w:color="auto"/>
            </w:tcBorders>
          </w:tcPr>
          <w:p w14:paraId="5B5E8B13"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2</w:t>
            </w:r>
            <w:r w:rsidRPr="0021445F">
              <w:rPr>
                <w:bCs w:val="0"/>
                <w:sz w:val="18"/>
                <w:szCs w:val="18"/>
                <w:lang w:val="en-US"/>
              </w:rPr>
              <w:t xml:space="preserve"> delay in </w:t>
            </w:r>
            <w:r>
              <w:rPr>
                <w:bCs w:val="0"/>
                <w:sz w:val="18"/>
                <w:szCs w:val="18"/>
                <w:lang w:val="en-US"/>
              </w:rPr>
              <w:t>µs</w:t>
            </w:r>
          </w:p>
        </w:tc>
        <w:tc>
          <w:tcPr>
            <w:tcW w:w="1170" w:type="dxa"/>
            <w:tcBorders>
              <w:bottom w:val="none" w:sz="0" w:space="0" w:color="auto"/>
            </w:tcBorders>
            <w:hideMark/>
          </w:tcPr>
          <w:p w14:paraId="550A37F6"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Type 2 delay in Slot</w:t>
            </w:r>
          </w:p>
        </w:tc>
        <w:tc>
          <w:tcPr>
            <w:tcW w:w="1080" w:type="dxa"/>
            <w:tcBorders>
              <w:bottom w:val="none" w:sz="0" w:space="0" w:color="auto"/>
            </w:tcBorders>
          </w:tcPr>
          <w:p w14:paraId="0411ACF7"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3</w:t>
            </w:r>
            <w:r w:rsidRPr="0021445F">
              <w:rPr>
                <w:bCs w:val="0"/>
                <w:sz w:val="18"/>
                <w:szCs w:val="18"/>
                <w:lang w:val="en-US"/>
              </w:rPr>
              <w:t xml:space="preserve"> delay in </w:t>
            </w:r>
            <w:r>
              <w:rPr>
                <w:bCs w:val="0"/>
                <w:sz w:val="18"/>
                <w:szCs w:val="18"/>
                <w:lang w:val="en-US"/>
              </w:rPr>
              <w:t>µs</w:t>
            </w:r>
          </w:p>
        </w:tc>
        <w:tc>
          <w:tcPr>
            <w:tcW w:w="1170" w:type="dxa"/>
            <w:tcBorders>
              <w:bottom w:val="none" w:sz="0" w:space="0" w:color="auto"/>
            </w:tcBorders>
          </w:tcPr>
          <w:p w14:paraId="352535FB"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Pr>
                <w:bCs w:val="0"/>
                <w:sz w:val="18"/>
                <w:szCs w:val="18"/>
                <w:lang w:val="en-US"/>
              </w:rPr>
              <w:t>Type 3 delay in Slot</w:t>
            </w:r>
          </w:p>
        </w:tc>
        <w:tc>
          <w:tcPr>
            <w:tcW w:w="1535" w:type="dxa"/>
            <w:tcBorders>
              <w:bottom w:val="none" w:sz="0" w:space="0" w:color="auto"/>
            </w:tcBorders>
            <w:hideMark/>
          </w:tcPr>
          <w:p w14:paraId="6F94A523" w14:textId="77777777" w:rsidR="008073D7" w:rsidRPr="0021445F" w:rsidRDefault="008073D7" w:rsidP="00E335B2">
            <w:pPr>
              <w:snapToGrid w:val="0"/>
              <w:spacing w:before="0" w:after="0"/>
              <w:jc w:val="center"/>
              <w:cnfStyle w:val="100000000000" w:firstRow="1" w:lastRow="0" w:firstColumn="0" w:lastColumn="0" w:oddVBand="0" w:evenVBand="0" w:oddHBand="0" w:evenHBand="0" w:firstRowFirstColumn="0" w:firstRowLastColumn="0" w:lastRowFirstColumn="0" w:lastRowLastColumn="0"/>
              <w:rPr>
                <w:bCs w:val="0"/>
                <w:sz w:val="18"/>
                <w:szCs w:val="18"/>
                <w:lang w:val="en-US"/>
              </w:rPr>
            </w:pPr>
            <w:r w:rsidRPr="0021445F">
              <w:rPr>
                <w:bCs w:val="0"/>
                <w:sz w:val="18"/>
                <w:szCs w:val="18"/>
                <w:lang w:val="en-US"/>
              </w:rPr>
              <w:t>Comment</w:t>
            </w:r>
          </w:p>
        </w:tc>
      </w:tr>
      <w:tr w:rsidR="008073D7" w:rsidRPr="003F284B" w14:paraId="730EA558"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1A9F3B4A" w14:textId="77777777" w:rsidR="008073D7" w:rsidRPr="0021445F" w:rsidRDefault="008073D7" w:rsidP="00E335B2">
            <w:pPr>
              <w:snapToGrid w:val="0"/>
              <w:spacing w:before="0" w:after="0"/>
              <w:jc w:val="center"/>
              <w:rPr>
                <w:bCs w:val="0"/>
                <w:sz w:val="18"/>
                <w:szCs w:val="18"/>
                <w:lang w:val="en-US"/>
              </w:rPr>
            </w:pPr>
            <w:r w:rsidRPr="0021445F">
              <w:rPr>
                <w:bCs w:val="0"/>
                <w:sz w:val="18"/>
                <w:szCs w:val="18"/>
                <w:lang w:val="en-US"/>
              </w:rPr>
              <w:t>15kHz</w:t>
            </w:r>
          </w:p>
        </w:tc>
        <w:tc>
          <w:tcPr>
            <w:tcW w:w="1080" w:type="dxa"/>
          </w:tcPr>
          <w:p w14:paraId="69B2505C"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78C1C863"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3D317E8B" w14:textId="77777777" w:rsidR="008073D7"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0844A0">
              <w:rPr>
                <w:bCs/>
                <w:sz w:val="18"/>
                <w:szCs w:val="18"/>
                <w:lang w:val="en-US"/>
              </w:rPr>
              <w:t>2000</w:t>
            </w:r>
          </w:p>
        </w:tc>
        <w:tc>
          <w:tcPr>
            <w:tcW w:w="1170" w:type="dxa"/>
            <w:hideMark/>
          </w:tcPr>
          <w:p w14:paraId="2ED068A6" w14:textId="77777777" w:rsidR="008073D7" w:rsidRPr="00B67838"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w:t>
            </w:r>
          </w:p>
        </w:tc>
        <w:tc>
          <w:tcPr>
            <w:tcW w:w="1080" w:type="dxa"/>
          </w:tcPr>
          <w:p w14:paraId="0C4B6D18"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44A4DB74"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w:t>
            </w:r>
          </w:p>
        </w:tc>
        <w:tc>
          <w:tcPr>
            <w:tcW w:w="1535" w:type="dxa"/>
            <w:hideMark/>
          </w:tcPr>
          <w:p w14:paraId="0383D1A7"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8073D7" w:rsidRPr="003F284B" w14:paraId="105F182F"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13EA0B38" w14:textId="77777777" w:rsidR="008073D7" w:rsidRPr="0021445F" w:rsidRDefault="008073D7" w:rsidP="00E335B2">
            <w:pPr>
              <w:snapToGrid w:val="0"/>
              <w:spacing w:before="0" w:after="0"/>
              <w:jc w:val="center"/>
              <w:rPr>
                <w:bCs w:val="0"/>
                <w:sz w:val="18"/>
                <w:szCs w:val="18"/>
                <w:lang w:val="en-US"/>
              </w:rPr>
            </w:pPr>
          </w:p>
        </w:tc>
        <w:tc>
          <w:tcPr>
            <w:tcW w:w="1080" w:type="dxa"/>
          </w:tcPr>
          <w:p w14:paraId="14BD2CB4"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3868A233"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212349D5"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61D438E8"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w:t>
            </w:r>
          </w:p>
        </w:tc>
        <w:tc>
          <w:tcPr>
            <w:tcW w:w="1080" w:type="dxa"/>
          </w:tcPr>
          <w:p w14:paraId="259815E4"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2000</w:t>
            </w:r>
          </w:p>
        </w:tc>
        <w:tc>
          <w:tcPr>
            <w:tcW w:w="1170" w:type="dxa"/>
          </w:tcPr>
          <w:p w14:paraId="568C9E19"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w:t>
            </w:r>
          </w:p>
        </w:tc>
        <w:tc>
          <w:tcPr>
            <w:tcW w:w="1535" w:type="dxa"/>
            <w:hideMark/>
          </w:tcPr>
          <w:p w14:paraId="6B9A0FDA"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8073D7" w:rsidRPr="003F284B" w14:paraId="33C844CE"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2B2F6B76" w14:textId="77777777" w:rsidR="008073D7" w:rsidRPr="0021445F" w:rsidRDefault="008073D7" w:rsidP="00E335B2">
            <w:pPr>
              <w:snapToGrid w:val="0"/>
              <w:spacing w:before="0" w:after="0"/>
              <w:jc w:val="center"/>
              <w:rPr>
                <w:bCs w:val="0"/>
                <w:sz w:val="18"/>
                <w:szCs w:val="18"/>
                <w:lang w:val="en-US"/>
              </w:rPr>
            </w:pPr>
            <w:r w:rsidRPr="0021445F">
              <w:rPr>
                <w:bCs w:val="0"/>
                <w:sz w:val="18"/>
                <w:szCs w:val="18"/>
                <w:lang w:val="en-US"/>
              </w:rPr>
              <w:t>30kHz</w:t>
            </w:r>
          </w:p>
        </w:tc>
        <w:tc>
          <w:tcPr>
            <w:tcW w:w="1080" w:type="dxa"/>
          </w:tcPr>
          <w:p w14:paraId="553A6409"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3C1C82C3"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2</w:t>
            </w:r>
          </w:p>
        </w:tc>
        <w:tc>
          <w:tcPr>
            <w:tcW w:w="1080" w:type="dxa"/>
          </w:tcPr>
          <w:p w14:paraId="2CD15659" w14:textId="77777777" w:rsidR="008073D7"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75EA5032" w14:textId="77777777" w:rsidR="008073D7" w:rsidRPr="00B67838"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4</w:t>
            </w:r>
          </w:p>
        </w:tc>
        <w:tc>
          <w:tcPr>
            <w:tcW w:w="1080" w:type="dxa"/>
          </w:tcPr>
          <w:p w14:paraId="39139363"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3F0A154E"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w:t>
            </w:r>
          </w:p>
        </w:tc>
        <w:tc>
          <w:tcPr>
            <w:tcW w:w="1535" w:type="dxa"/>
            <w:hideMark/>
          </w:tcPr>
          <w:p w14:paraId="00E03119"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8073D7" w:rsidRPr="003F284B" w14:paraId="2D57CA29"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25045992" w14:textId="77777777" w:rsidR="008073D7" w:rsidRPr="0021445F" w:rsidRDefault="008073D7" w:rsidP="00E335B2">
            <w:pPr>
              <w:snapToGrid w:val="0"/>
              <w:spacing w:before="0" w:after="0"/>
              <w:jc w:val="center"/>
              <w:rPr>
                <w:bCs w:val="0"/>
                <w:sz w:val="18"/>
                <w:szCs w:val="18"/>
                <w:lang w:val="en-US"/>
              </w:rPr>
            </w:pPr>
          </w:p>
        </w:tc>
        <w:tc>
          <w:tcPr>
            <w:tcW w:w="1080" w:type="dxa"/>
          </w:tcPr>
          <w:p w14:paraId="32ED0700"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4A325BBC"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1</w:t>
            </w:r>
          </w:p>
        </w:tc>
        <w:tc>
          <w:tcPr>
            <w:tcW w:w="1080" w:type="dxa"/>
          </w:tcPr>
          <w:p w14:paraId="08F61D7E"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64D63301"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w:t>
            </w:r>
          </w:p>
        </w:tc>
        <w:tc>
          <w:tcPr>
            <w:tcW w:w="1080" w:type="dxa"/>
          </w:tcPr>
          <w:p w14:paraId="086F8B1A"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2000</w:t>
            </w:r>
          </w:p>
        </w:tc>
        <w:tc>
          <w:tcPr>
            <w:tcW w:w="1170" w:type="dxa"/>
          </w:tcPr>
          <w:p w14:paraId="3A3820D7"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w:t>
            </w:r>
          </w:p>
        </w:tc>
        <w:tc>
          <w:tcPr>
            <w:tcW w:w="1535" w:type="dxa"/>
            <w:hideMark/>
          </w:tcPr>
          <w:p w14:paraId="16509B05"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8073D7" w:rsidRPr="003F284B" w14:paraId="66F49937"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1BF35B57" w14:textId="77777777" w:rsidR="008073D7" w:rsidRPr="0021445F" w:rsidRDefault="008073D7" w:rsidP="00E335B2">
            <w:pPr>
              <w:snapToGrid w:val="0"/>
              <w:spacing w:before="0" w:after="0"/>
              <w:jc w:val="center"/>
              <w:rPr>
                <w:bCs w:val="0"/>
                <w:sz w:val="18"/>
                <w:szCs w:val="18"/>
                <w:lang w:val="en-US"/>
              </w:rPr>
            </w:pPr>
            <w:r w:rsidRPr="0021445F">
              <w:rPr>
                <w:bCs w:val="0"/>
                <w:sz w:val="18"/>
                <w:szCs w:val="18"/>
                <w:lang w:val="en-US"/>
              </w:rPr>
              <w:t>60kHz</w:t>
            </w:r>
          </w:p>
        </w:tc>
        <w:tc>
          <w:tcPr>
            <w:tcW w:w="1080" w:type="dxa"/>
          </w:tcPr>
          <w:p w14:paraId="6203E747"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4ACC845B"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3</w:t>
            </w:r>
          </w:p>
        </w:tc>
        <w:tc>
          <w:tcPr>
            <w:tcW w:w="1080" w:type="dxa"/>
          </w:tcPr>
          <w:p w14:paraId="22FE70AD" w14:textId="77777777" w:rsidR="008073D7"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1635599E" w14:textId="77777777" w:rsidR="008073D7" w:rsidRPr="00B67838"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8</w:t>
            </w:r>
          </w:p>
        </w:tc>
        <w:tc>
          <w:tcPr>
            <w:tcW w:w="1080" w:type="dxa"/>
          </w:tcPr>
          <w:p w14:paraId="17BBC1CA"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19062F7D"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12</w:t>
            </w:r>
          </w:p>
        </w:tc>
        <w:tc>
          <w:tcPr>
            <w:tcW w:w="1535" w:type="dxa"/>
            <w:hideMark/>
          </w:tcPr>
          <w:p w14:paraId="1D587E5E"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8073D7" w:rsidRPr="003F284B" w14:paraId="21368A06"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50A6AE3E" w14:textId="77777777" w:rsidR="008073D7" w:rsidRPr="0021445F" w:rsidRDefault="008073D7" w:rsidP="00E335B2">
            <w:pPr>
              <w:snapToGrid w:val="0"/>
              <w:spacing w:before="0" w:after="0"/>
              <w:jc w:val="center"/>
              <w:rPr>
                <w:bCs w:val="0"/>
                <w:sz w:val="18"/>
                <w:szCs w:val="18"/>
                <w:lang w:val="en-US"/>
              </w:rPr>
            </w:pPr>
          </w:p>
        </w:tc>
        <w:tc>
          <w:tcPr>
            <w:tcW w:w="1080" w:type="dxa"/>
          </w:tcPr>
          <w:p w14:paraId="25776381"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703123AD"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2</w:t>
            </w:r>
          </w:p>
        </w:tc>
        <w:tc>
          <w:tcPr>
            <w:tcW w:w="1080" w:type="dxa"/>
          </w:tcPr>
          <w:p w14:paraId="28329F8E"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391FE03B"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w:t>
            </w:r>
          </w:p>
        </w:tc>
        <w:tc>
          <w:tcPr>
            <w:tcW w:w="1080" w:type="dxa"/>
          </w:tcPr>
          <w:p w14:paraId="16EA0284"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1500</w:t>
            </w:r>
          </w:p>
        </w:tc>
        <w:tc>
          <w:tcPr>
            <w:tcW w:w="1170" w:type="dxa"/>
          </w:tcPr>
          <w:p w14:paraId="2A6F3595"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8</w:t>
            </w:r>
          </w:p>
        </w:tc>
        <w:tc>
          <w:tcPr>
            <w:tcW w:w="1535" w:type="dxa"/>
            <w:hideMark/>
          </w:tcPr>
          <w:p w14:paraId="07674E61"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r w:rsidR="008073D7" w:rsidRPr="003F284B" w14:paraId="2364F8E3" w14:textId="77777777" w:rsidTr="00970A06">
        <w:trPr>
          <w:cnfStyle w:val="000000100000" w:firstRow="0" w:lastRow="0" w:firstColumn="0" w:lastColumn="0" w:oddVBand="0" w:evenVBand="0" w:oddHBand="1"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val="restart"/>
            <w:hideMark/>
          </w:tcPr>
          <w:p w14:paraId="4459D727" w14:textId="77777777" w:rsidR="008073D7" w:rsidRPr="0021445F" w:rsidRDefault="008073D7" w:rsidP="00E335B2">
            <w:pPr>
              <w:snapToGrid w:val="0"/>
              <w:spacing w:before="0" w:after="0"/>
              <w:jc w:val="center"/>
              <w:rPr>
                <w:bCs w:val="0"/>
                <w:sz w:val="18"/>
                <w:szCs w:val="18"/>
                <w:lang w:val="en-US"/>
              </w:rPr>
            </w:pPr>
            <w:r w:rsidRPr="0021445F">
              <w:rPr>
                <w:bCs w:val="0"/>
                <w:sz w:val="18"/>
                <w:szCs w:val="18"/>
                <w:lang w:val="en-US"/>
              </w:rPr>
              <w:t>120kHz</w:t>
            </w:r>
          </w:p>
        </w:tc>
        <w:tc>
          <w:tcPr>
            <w:tcW w:w="1080" w:type="dxa"/>
          </w:tcPr>
          <w:p w14:paraId="459FDE3E"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600</w:t>
            </w:r>
          </w:p>
        </w:tc>
        <w:tc>
          <w:tcPr>
            <w:tcW w:w="1170" w:type="dxa"/>
            <w:hideMark/>
          </w:tcPr>
          <w:p w14:paraId="211DB9A8"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6</w:t>
            </w:r>
          </w:p>
        </w:tc>
        <w:tc>
          <w:tcPr>
            <w:tcW w:w="1080" w:type="dxa"/>
          </w:tcPr>
          <w:p w14:paraId="0C68204D" w14:textId="77777777" w:rsidR="008073D7"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2000</w:t>
            </w:r>
          </w:p>
        </w:tc>
        <w:tc>
          <w:tcPr>
            <w:tcW w:w="1170" w:type="dxa"/>
            <w:hideMark/>
          </w:tcPr>
          <w:p w14:paraId="11ABDB47" w14:textId="77777777" w:rsidR="008073D7" w:rsidRPr="00B67838"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16</w:t>
            </w:r>
          </w:p>
        </w:tc>
        <w:tc>
          <w:tcPr>
            <w:tcW w:w="1080" w:type="dxa"/>
          </w:tcPr>
          <w:p w14:paraId="0907FA34"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3000</w:t>
            </w:r>
          </w:p>
        </w:tc>
        <w:tc>
          <w:tcPr>
            <w:tcW w:w="1170" w:type="dxa"/>
          </w:tcPr>
          <w:p w14:paraId="12165457"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Pr>
                <w:bCs/>
                <w:sz w:val="18"/>
                <w:szCs w:val="18"/>
                <w:lang w:val="en-US"/>
              </w:rPr>
              <w:t>24</w:t>
            </w:r>
          </w:p>
        </w:tc>
        <w:tc>
          <w:tcPr>
            <w:tcW w:w="1535" w:type="dxa"/>
            <w:hideMark/>
          </w:tcPr>
          <w:p w14:paraId="7DAE50F6" w14:textId="77777777" w:rsidR="008073D7" w:rsidRPr="0021445F" w:rsidRDefault="008073D7" w:rsidP="00E335B2">
            <w:pPr>
              <w:snapToGrid w:val="0"/>
              <w:spacing w:before="0" w:after="0"/>
              <w:jc w:val="center"/>
              <w:cnfStyle w:val="000000100000" w:firstRow="0" w:lastRow="0" w:firstColumn="0" w:lastColumn="0" w:oddVBand="0" w:evenVBand="0" w:oddHBand="1" w:evenHBand="0" w:firstRowFirstColumn="0" w:firstRowLastColumn="0" w:lastRowFirstColumn="0" w:lastRowLastColumn="0"/>
              <w:rPr>
                <w:bCs/>
                <w:sz w:val="18"/>
                <w:szCs w:val="18"/>
                <w:lang w:val="en-US"/>
              </w:rPr>
            </w:pPr>
            <w:r w:rsidRPr="0021445F">
              <w:rPr>
                <w:bCs/>
                <w:sz w:val="18"/>
                <w:szCs w:val="18"/>
                <w:lang w:val="en-US"/>
              </w:rPr>
              <w:t>Scenario 1/2/3</w:t>
            </w:r>
          </w:p>
        </w:tc>
      </w:tr>
      <w:tr w:rsidR="008073D7" w:rsidRPr="003F284B" w14:paraId="15C3ECA9" w14:textId="77777777" w:rsidTr="00970A06">
        <w:trPr>
          <w:trHeight w:val="223"/>
          <w:jc w:val="center"/>
        </w:trPr>
        <w:tc>
          <w:tcPr>
            <w:cnfStyle w:val="001000000000" w:firstRow="0" w:lastRow="0" w:firstColumn="1" w:lastColumn="0" w:oddVBand="0" w:evenVBand="0" w:oddHBand="0" w:evenHBand="0" w:firstRowFirstColumn="0" w:firstRowLastColumn="0" w:lastRowFirstColumn="0" w:lastRowLastColumn="0"/>
            <w:tcW w:w="980" w:type="dxa"/>
            <w:vMerge/>
            <w:hideMark/>
          </w:tcPr>
          <w:p w14:paraId="73ACD854" w14:textId="77777777" w:rsidR="008073D7" w:rsidRPr="0021445F" w:rsidRDefault="008073D7" w:rsidP="00E335B2">
            <w:pPr>
              <w:snapToGrid w:val="0"/>
              <w:spacing w:before="0" w:after="0"/>
              <w:jc w:val="center"/>
              <w:rPr>
                <w:bCs w:val="0"/>
                <w:sz w:val="18"/>
                <w:szCs w:val="18"/>
                <w:lang w:val="en-US"/>
              </w:rPr>
            </w:pPr>
          </w:p>
        </w:tc>
        <w:tc>
          <w:tcPr>
            <w:tcW w:w="1080" w:type="dxa"/>
          </w:tcPr>
          <w:p w14:paraId="48F413BD"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400</w:t>
            </w:r>
          </w:p>
        </w:tc>
        <w:tc>
          <w:tcPr>
            <w:tcW w:w="1170" w:type="dxa"/>
            <w:hideMark/>
          </w:tcPr>
          <w:p w14:paraId="56A61200"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4</w:t>
            </w:r>
          </w:p>
        </w:tc>
        <w:tc>
          <w:tcPr>
            <w:tcW w:w="1080" w:type="dxa"/>
          </w:tcPr>
          <w:p w14:paraId="3C0D69C2"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950</w:t>
            </w:r>
          </w:p>
        </w:tc>
        <w:tc>
          <w:tcPr>
            <w:tcW w:w="1170" w:type="dxa"/>
            <w:hideMark/>
          </w:tcPr>
          <w:p w14:paraId="699F168F" w14:textId="77777777" w:rsidR="008073D7" w:rsidRPr="00B67838"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8</w:t>
            </w:r>
          </w:p>
        </w:tc>
        <w:tc>
          <w:tcPr>
            <w:tcW w:w="1080" w:type="dxa"/>
          </w:tcPr>
          <w:p w14:paraId="1731590C"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1500</w:t>
            </w:r>
          </w:p>
        </w:tc>
        <w:tc>
          <w:tcPr>
            <w:tcW w:w="1170" w:type="dxa"/>
          </w:tcPr>
          <w:p w14:paraId="5B31E6D1"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16</w:t>
            </w:r>
          </w:p>
        </w:tc>
        <w:tc>
          <w:tcPr>
            <w:tcW w:w="1535" w:type="dxa"/>
            <w:hideMark/>
          </w:tcPr>
          <w:p w14:paraId="2470C861" w14:textId="77777777" w:rsidR="008073D7" w:rsidRPr="0021445F" w:rsidRDefault="008073D7" w:rsidP="00E335B2">
            <w:pPr>
              <w:snapToGrid w:val="0"/>
              <w:spacing w:before="0" w:after="0"/>
              <w:jc w:val="center"/>
              <w:cnfStyle w:val="000000000000" w:firstRow="0" w:lastRow="0" w:firstColumn="0" w:lastColumn="0" w:oddVBand="0" w:evenVBand="0" w:oddHBand="0" w:evenHBand="0" w:firstRowFirstColumn="0" w:firstRowLastColumn="0" w:lastRowFirstColumn="0" w:lastRowLastColumn="0"/>
              <w:rPr>
                <w:bCs/>
                <w:sz w:val="18"/>
                <w:szCs w:val="18"/>
                <w:lang w:val="en-US"/>
              </w:rPr>
            </w:pPr>
            <w:r w:rsidRPr="0021445F">
              <w:rPr>
                <w:bCs/>
                <w:sz w:val="18"/>
                <w:szCs w:val="18"/>
                <w:lang w:val="en-US"/>
              </w:rPr>
              <w:t>Scenario 4</w:t>
            </w:r>
          </w:p>
        </w:tc>
      </w:tr>
    </w:tbl>
    <w:p w14:paraId="79E5221B" w14:textId="77777777" w:rsidR="008073D7" w:rsidRDefault="008073D7" w:rsidP="00567C52">
      <w:pPr>
        <w:spacing w:before="0" w:after="180"/>
        <w:contextualSpacing/>
        <w:rPr>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184BFE3" w14:textId="3651BCC4" w:rsidR="0054171F" w:rsidRDefault="0054171F" w:rsidP="0054171F">
      <w:pPr>
        <w:rPr>
          <w:lang w:eastAsia="zh-CN"/>
        </w:rPr>
      </w:pPr>
      <w:r>
        <w:t xml:space="preserve">[1] </w:t>
      </w:r>
      <w:r w:rsidR="0001238B" w:rsidRPr="0001238B">
        <w:t>R4-1808001</w:t>
      </w:r>
      <w:r>
        <w:t>, “</w:t>
      </w:r>
      <w:r w:rsidRPr="0054171F">
        <w:t>Way forward on BWP Switching</w:t>
      </w:r>
      <w:r>
        <w:t xml:space="preserve">”, </w:t>
      </w:r>
      <w:proofErr w:type="spellStart"/>
      <w:r w:rsidRPr="0054171F">
        <w:t>Mediatek</w:t>
      </w:r>
      <w:proofErr w:type="spellEnd"/>
      <w:r w:rsidRPr="0054171F">
        <w:t xml:space="preserve">, </w:t>
      </w:r>
      <w:r>
        <w:t>RAN4</w:t>
      </w:r>
      <w:r>
        <w:rPr>
          <w:rFonts w:hint="eastAsia"/>
          <w:lang w:eastAsia="zh-CN"/>
        </w:rPr>
        <w:t>#</w:t>
      </w:r>
      <w:r>
        <w:rPr>
          <w:lang w:eastAsia="zh-CN"/>
        </w:rPr>
        <w:t>8</w:t>
      </w:r>
      <w:r w:rsidR="0001238B">
        <w:rPr>
          <w:lang w:eastAsia="zh-CN"/>
        </w:rPr>
        <w:t>7</w:t>
      </w:r>
    </w:p>
    <w:p w14:paraId="0EC1F934" w14:textId="5488471E" w:rsidR="005D767C" w:rsidRDefault="0054171F" w:rsidP="0032788C">
      <w:pPr>
        <w:rPr>
          <w:lang w:eastAsia="zh-CN"/>
        </w:rPr>
      </w:pPr>
      <w:r>
        <w:t>[2</w:t>
      </w:r>
      <w:r w:rsidR="0032788C">
        <w:t xml:space="preserve">] </w:t>
      </w:r>
      <w:r w:rsidR="00782D8F" w:rsidRPr="00782D8F">
        <w:t>R4-1803283</w:t>
      </w:r>
      <w:r w:rsidR="0032788C">
        <w:t>, “</w:t>
      </w:r>
      <w:r w:rsidR="00782D8F" w:rsidRPr="00782D8F">
        <w:t>LS on BWP switching delay</w:t>
      </w:r>
      <w:r w:rsidR="0032788C">
        <w:t xml:space="preserve">”, </w:t>
      </w:r>
      <w:r w:rsidR="00782D8F">
        <w:t>Intel</w:t>
      </w:r>
      <w:r w:rsidR="00756B86">
        <w:t>, RAN</w:t>
      </w:r>
      <w:r w:rsidR="00782D8F">
        <w:t>4</w:t>
      </w:r>
      <w:r w:rsidR="00756B86">
        <w:rPr>
          <w:rFonts w:hint="eastAsia"/>
          <w:lang w:eastAsia="zh-CN"/>
        </w:rPr>
        <w:t>#</w:t>
      </w:r>
      <w:r w:rsidR="00782D8F">
        <w:rPr>
          <w:lang w:eastAsia="zh-CN"/>
        </w:rPr>
        <w:t>86</w:t>
      </w:r>
    </w:p>
    <w:p w14:paraId="7C412343" w14:textId="564EB3A8" w:rsidR="00E875A5" w:rsidRPr="009D7AA9" w:rsidRDefault="00E875A5" w:rsidP="0032788C">
      <w:pPr>
        <w:rPr>
          <w:lang w:eastAsia="zh-CN"/>
        </w:rPr>
      </w:pPr>
      <w:r>
        <w:rPr>
          <w:lang w:eastAsia="zh-CN"/>
        </w:rPr>
        <w:t xml:space="preserve">[3] </w:t>
      </w:r>
      <w:r w:rsidRPr="00E875A5">
        <w:rPr>
          <w:lang w:eastAsia="zh-CN"/>
        </w:rPr>
        <w:t>R4-1802270</w:t>
      </w:r>
      <w:r>
        <w:rPr>
          <w:lang w:eastAsia="zh-CN"/>
        </w:rPr>
        <w:t>, “</w:t>
      </w:r>
      <w:r w:rsidRPr="00E875A5">
        <w:rPr>
          <w:lang w:eastAsia="zh-CN"/>
        </w:rPr>
        <w:t>BWP Switch Timeline</w:t>
      </w:r>
      <w:r>
        <w:rPr>
          <w:lang w:eastAsia="zh-CN"/>
        </w:rPr>
        <w:t xml:space="preserve">”, Qualcomm, </w:t>
      </w:r>
      <w:r>
        <w:t>RAN4</w:t>
      </w:r>
      <w:r>
        <w:rPr>
          <w:rFonts w:hint="eastAsia"/>
          <w:lang w:eastAsia="zh-CN"/>
        </w:rPr>
        <w:t>#</w:t>
      </w:r>
      <w:r>
        <w:rPr>
          <w:lang w:eastAsia="zh-CN"/>
        </w:rPr>
        <w:t>86</w:t>
      </w:r>
    </w:p>
    <w:sectPr w:rsidR="00E875A5" w:rsidRPr="009D7AA9"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3E4C8" w14:textId="77777777" w:rsidR="00454025" w:rsidRDefault="00454025">
      <w:r>
        <w:separator/>
      </w:r>
    </w:p>
  </w:endnote>
  <w:endnote w:type="continuationSeparator" w:id="0">
    <w:p w14:paraId="0B20D3D7" w14:textId="77777777" w:rsidR="00454025" w:rsidRDefault="00454025">
      <w:r>
        <w:continuationSeparator/>
      </w:r>
    </w:p>
  </w:endnote>
  <w:endnote w:type="continuationNotice" w:id="1">
    <w:p w14:paraId="0AC3913A" w14:textId="77777777" w:rsidR="00454025" w:rsidRDefault="004540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844A0" w:rsidRDefault="000844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844A0" w:rsidRDefault="000844A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844A0" w:rsidRPr="00DB1239" w:rsidRDefault="000844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92F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2F5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143A8" w14:textId="77777777" w:rsidR="00454025" w:rsidRDefault="00454025">
      <w:r>
        <w:separator/>
      </w:r>
    </w:p>
  </w:footnote>
  <w:footnote w:type="continuationSeparator" w:id="0">
    <w:p w14:paraId="01884B10" w14:textId="77777777" w:rsidR="00454025" w:rsidRDefault="00454025">
      <w:r>
        <w:continuationSeparator/>
      </w:r>
    </w:p>
  </w:footnote>
  <w:footnote w:type="continuationNotice" w:id="1">
    <w:p w14:paraId="75DCBE5B" w14:textId="77777777" w:rsidR="00454025" w:rsidRDefault="0045402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844A0" w:rsidRDefault="000844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cs="Times New Roman" w:hint="default"/>
      </w:rPr>
    </w:lvl>
    <w:lvl w:ilvl="1" w:tplc="3D5696BA">
      <w:start w:val="110"/>
      <w:numFmt w:val="bullet"/>
      <w:lvlText w:val="–"/>
      <w:lvlJc w:val="left"/>
      <w:pPr>
        <w:tabs>
          <w:tab w:val="num" w:pos="1800"/>
        </w:tabs>
        <w:ind w:left="1800" w:hanging="360"/>
      </w:pPr>
      <w:rPr>
        <w:rFonts w:ascii="Arial" w:hAnsi="Arial" w:cs="Times New Roman" w:hint="default"/>
      </w:rPr>
    </w:lvl>
    <w:lvl w:ilvl="2" w:tplc="FD205EF6">
      <w:start w:val="1"/>
      <w:numFmt w:val="bullet"/>
      <w:lvlText w:val="•"/>
      <w:lvlJc w:val="left"/>
      <w:pPr>
        <w:tabs>
          <w:tab w:val="num" w:pos="2520"/>
        </w:tabs>
        <w:ind w:left="2520" w:hanging="360"/>
      </w:pPr>
      <w:rPr>
        <w:rFonts w:ascii="Arial" w:hAnsi="Arial" w:cs="Times New Roman" w:hint="default"/>
      </w:rPr>
    </w:lvl>
    <w:lvl w:ilvl="3" w:tplc="7D9C5D84">
      <w:start w:val="1"/>
      <w:numFmt w:val="bullet"/>
      <w:lvlText w:val="•"/>
      <w:lvlJc w:val="left"/>
      <w:pPr>
        <w:tabs>
          <w:tab w:val="num" w:pos="3240"/>
        </w:tabs>
        <w:ind w:left="3240" w:hanging="360"/>
      </w:pPr>
      <w:rPr>
        <w:rFonts w:ascii="Arial" w:hAnsi="Arial" w:cs="Times New Roman" w:hint="default"/>
      </w:rPr>
    </w:lvl>
    <w:lvl w:ilvl="4" w:tplc="E3A843BC">
      <w:start w:val="1"/>
      <w:numFmt w:val="bullet"/>
      <w:lvlText w:val="•"/>
      <w:lvlJc w:val="left"/>
      <w:pPr>
        <w:tabs>
          <w:tab w:val="num" w:pos="3960"/>
        </w:tabs>
        <w:ind w:left="3960" w:hanging="360"/>
      </w:pPr>
      <w:rPr>
        <w:rFonts w:ascii="Arial" w:hAnsi="Arial" w:cs="Times New Roman" w:hint="default"/>
      </w:rPr>
    </w:lvl>
    <w:lvl w:ilvl="5" w:tplc="0F326308">
      <w:start w:val="1"/>
      <w:numFmt w:val="bullet"/>
      <w:lvlText w:val="•"/>
      <w:lvlJc w:val="left"/>
      <w:pPr>
        <w:tabs>
          <w:tab w:val="num" w:pos="4680"/>
        </w:tabs>
        <w:ind w:left="4680" w:hanging="360"/>
      </w:pPr>
      <w:rPr>
        <w:rFonts w:ascii="Arial" w:hAnsi="Arial" w:cs="Times New Roman" w:hint="default"/>
      </w:rPr>
    </w:lvl>
    <w:lvl w:ilvl="6" w:tplc="A41C6332">
      <w:start w:val="1"/>
      <w:numFmt w:val="bullet"/>
      <w:lvlText w:val="•"/>
      <w:lvlJc w:val="left"/>
      <w:pPr>
        <w:tabs>
          <w:tab w:val="num" w:pos="5400"/>
        </w:tabs>
        <w:ind w:left="5400" w:hanging="360"/>
      </w:pPr>
      <w:rPr>
        <w:rFonts w:ascii="Arial" w:hAnsi="Arial" w:cs="Times New Roman" w:hint="default"/>
      </w:rPr>
    </w:lvl>
    <w:lvl w:ilvl="7" w:tplc="FB883370">
      <w:start w:val="1"/>
      <w:numFmt w:val="bullet"/>
      <w:lvlText w:val="•"/>
      <w:lvlJc w:val="left"/>
      <w:pPr>
        <w:tabs>
          <w:tab w:val="num" w:pos="6120"/>
        </w:tabs>
        <w:ind w:left="6120" w:hanging="360"/>
      </w:pPr>
      <w:rPr>
        <w:rFonts w:ascii="Arial" w:hAnsi="Arial" w:cs="Times New Roman" w:hint="default"/>
      </w:rPr>
    </w:lvl>
    <w:lvl w:ilvl="8" w:tplc="9BC43FB2">
      <w:start w:val="1"/>
      <w:numFmt w:val="bullet"/>
      <w:lvlText w:val="•"/>
      <w:lvlJc w:val="left"/>
      <w:pPr>
        <w:tabs>
          <w:tab w:val="num" w:pos="6840"/>
        </w:tabs>
        <w:ind w:left="6840" w:hanging="360"/>
      </w:pPr>
      <w:rPr>
        <w:rFonts w:ascii="Arial" w:hAnsi="Arial" w:cs="Times New Roman" w:hint="default"/>
      </w:rPr>
    </w:lvl>
  </w:abstractNum>
  <w:abstractNum w:abstractNumId="21"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2"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9"/>
  </w:num>
  <w:num w:numId="4">
    <w:abstractNumId w:val="1"/>
  </w:num>
  <w:num w:numId="5">
    <w:abstractNumId w:val="31"/>
  </w:num>
  <w:num w:numId="6">
    <w:abstractNumId w:val="7"/>
  </w:num>
  <w:num w:numId="7">
    <w:abstractNumId w:val="3"/>
  </w:num>
  <w:num w:numId="8">
    <w:abstractNumId w:val="9"/>
  </w:num>
  <w:num w:numId="9">
    <w:abstractNumId w:val="4"/>
  </w:num>
  <w:num w:numId="10">
    <w:abstractNumId w:val="28"/>
  </w:num>
  <w:num w:numId="11">
    <w:abstractNumId w:val="26"/>
  </w:num>
  <w:num w:numId="12">
    <w:abstractNumId w:val="24"/>
  </w:num>
  <w:num w:numId="13">
    <w:abstractNumId w:val="21"/>
  </w:num>
  <w:num w:numId="14">
    <w:abstractNumId w:val="22"/>
  </w:num>
  <w:num w:numId="15">
    <w:abstractNumId w:val="12"/>
  </w:num>
  <w:num w:numId="16">
    <w:abstractNumId w:val="13"/>
  </w:num>
  <w:num w:numId="17">
    <w:abstractNumId w:val="8"/>
  </w:num>
  <w:num w:numId="18">
    <w:abstractNumId w:val="32"/>
  </w:num>
  <w:num w:numId="19">
    <w:abstractNumId w:val="5"/>
  </w:num>
  <w:num w:numId="20">
    <w:abstractNumId w:val="17"/>
  </w:num>
  <w:num w:numId="21">
    <w:abstractNumId w:val="2"/>
  </w:num>
  <w:num w:numId="22">
    <w:abstractNumId w:val="16"/>
  </w:num>
  <w:num w:numId="23">
    <w:abstractNumId w:val="25"/>
  </w:num>
  <w:num w:numId="24">
    <w:abstractNumId w:val="30"/>
  </w:num>
  <w:num w:numId="25">
    <w:abstractNumId w:val="14"/>
  </w:num>
  <w:num w:numId="26">
    <w:abstractNumId w:val="6"/>
  </w:num>
  <w:num w:numId="27">
    <w:abstractNumId w:val="11"/>
  </w:num>
  <w:num w:numId="28">
    <w:abstractNumId w:val="27"/>
  </w:num>
  <w:num w:numId="29">
    <w:abstractNumId w:val="29"/>
  </w:num>
  <w:num w:numId="30">
    <w:abstractNumId w:val="10"/>
  </w:num>
  <w:num w:numId="31">
    <w:abstractNumId w:val="20"/>
  </w:num>
  <w:num w:numId="3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5239"/>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3A9F"/>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06"/>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787"/>
    <w:rsid w:val="009E2F97"/>
    <w:rsid w:val="009E3235"/>
    <w:rsid w:val="009E3790"/>
    <w:rsid w:val="009E457F"/>
    <w:rsid w:val="009E5039"/>
    <w:rsid w:val="009E532F"/>
    <w:rsid w:val="009E5383"/>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91E"/>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425"/>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71"/>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1FDFA79-67B0-40CB-B97A-3BCF512F902C}">
  <ds:schemaRefs>
    <ds:schemaRef ds:uri="http://schemas.openxmlformats.org/officeDocument/2006/bibliography"/>
  </ds:schemaRefs>
</ds:datastoreItem>
</file>

<file path=customXml/itemProps5.xml><?xml version="1.0" encoding="utf-8"?>
<ds:datastoreItem xmlns:ds="http://schemas.openxmlformats.org/officeDocument/2006/customXml" ds:itemID="{D819C573-E709-4877-876D-39CA6385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1385</Words>
  <Characters>6570</Characters>
  <Application>Microsoft Office Word</Application>
  <DocSecurity>0</DocSecurity>
  <Lines>259</Lines>
  <Paragraphs>183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12</cp:revision>
  <cp:lastPrinted>2016-03-30T01:01:00Z</cp:lastPrinted>
  <dcterms:created xsi:type="dcterms:W3CDTF">2018-08-08T18:59:00Z</dcterms:created>
  <dcterms:modified xsi:type="dcterms:W3CDTF">2018-08-10T21:12:00Z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32757bbe-56ce-4c9b-aa71-fa48675299d4</vt:lpwstr>
  </property>
  <property fmtid="{D5CDD505-2E9C-101B-9397-08002B2CF9AE}" pid="4" name="CTP_TimeStamp">
    <vt:lpwstr>2018-08-10 21:12:13Z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